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C841F" w14:textId="68DB5A02" w:rsidR="00E80BB0" w:rsidRPr="005A3194" w:rsidRDefault="00E80BB0" w:rsidP="00E80BB0">
      <w:pPr>
        <w:widowControl w:val="0"/>
        <w:tabs>
          <w:tab w:val="right" w:pos="9639"/>
        </w:tabs>
        <w:overflowPunct w:val="0"/>
        <w:autoSpaceDE w:val="0"/>
        <w:autoSpaceDN w:val="0"/>
        <w:adjustRightInd w:val="0"/>
        <w:spacing w:after="0" w:line="240" w:lineRule="auto"/>
        <w:textAlignment w:val="baseline"/>
        <w:rPr>
          <w:rFonts w:ascii="Arial" w:hAnsi="Arial" w:cs="Times New Roman" w:hint="eastAsia"/>
          <w:b/>
          <w:bCs/>
          <w:i/>
          <w:sz w:val="32"/>
          <w:szCs w:val="20"/>
          <w:lang w:eastAsia="ja-JP"/>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3813EE" w:rsidRPr="003813EE">
        <w:rPr>
          <w:rFonts w:ascii="Arial" w:eastAsia="SimSun" w:hAnsi="Arial" w:cs="Times New Roman"/>
          <w:b/>
          <w:bCs/>
          <w:sz w:val="24"/>
          <w:szCs w:val="20"/>
          <w:lang w:eastAsia="zh-CN"/>
        </w:rPr>
        <w:t>R4-241825</w:t>
      </w:r>
      <w:r w:rsidR="005A3194">
        <w:rPr>
          <w:rFonts w:ascii="Arial" w:hAnsi="Arial" w:cs="Times New Roman" w:hint="eastAsia"/>
          <w:b/>
          <w:bCs/>
          <w:sz w:val="24"/>
          <w:szCs w:val="20"/>
          <w:lang w:eastAsia="ja-JP"/>
        </w:rPr>
        <w:t>2</w:t>
      </w:r>
    </w:p>
    <w:p w14:paraId="730565D6" w14:textId="77777777" w:rsidR="00E80BB0" w:rsidRPr="008F786B" w:rsidRDefault="00E80BB0" w:rsidP="00E80BB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0BA2AD44" w14:textId="77777777" w:rsidR="00841BCD" w:rsidRPr="00E80BB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092D13D8" w:rsidR="00841BCD" w:rsidRPr="0061508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Discussion on NR NTN</w:t>
      </w:r>
      <w:r w:rsidR="0061508D">
        <w:rPr>
          <w:rFonts w:ascii="Arial" w:hAnsi="Arial" w:cs="Arial" w:hint="eastAsia"/>
          <w:b/>
          <w:bCs/>
          <w:sz w:val="24"/>
          <w:lang w:val="en-US" w:eastAsia="ja-JP"/>
        </w:rPr>
        <w:t xml:space="preserve"> system parameters for Ku band</w:t>
      </w:r>
    </w:p>
    <w:p w14:paraId="0BA6D0AF" w14:textId="21DC7C45"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E80BB0">
        <w:rPr>
          <w:rFonts w:ascii="Arial" w:hAnsi="Arial" w:cs="Arial"/>
          <w:b/>
          <w:bCs/>
          <w:sz w:val="24"/>
          <w:szCs w:val="20"/>
          <w:lang w:val="en-US"/>
        </w:rPr>
        <w:t>7</w:t>
      </w:r>
      <w:r w:rsidR="0061508D">
        <w:rPr>
          <w:rFonts w:ascii="Arial" w:hAnsi="Arial" w:cs="Arial" w:hint="eastAsia"/>
          <w:b/>
          <w:bCs/>
          <w:sz w:val="24"/>
          <w:szCs w:val="20"/>
          <w:lang w:val="en-US" w:eastAsia="ja-JP"/>
        </w:rPr>
        <w:t>.9.3</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2A20372" w14:textId="367BE4E2" w:rsidR="00EC7A8A" w:rsidRPr="00614DD8" w:rsidRDefault="00AA1AD5" w:rsidP="00EC7A8A">
      <w:pPr>
        <w:rPr>
          <w:lang w:val="en-US" w:eastAsia="ja-JP"/>
        </w:rPr>
      </w:pPr>
      <w:r>
        <w:rPr>
          <w:rFonts w:hint="eastAsia"/>
          <w:lang w:val="en-US" w:eastAsia="ja-JP"/>
        </w:rPr>
        <w:t>WI on the i</w:t>
      </w:r>
      <w:r w:rsidRPr="00AA1AD5">
        <w:rPr>
          <w:lang w:val="en-US" w:eastAsia="ja-JP"/>
        </w:rPr>
        <w:t>ntroduction of Ku Band for NR NTN</w:t>
      </w:r>
      <w:r w:rsidRPr="00AA1AD5">
        <w:rPr>
          <w:rFonts w:hint="eastAsia"/>
          <w:lang w:val="en-US" w:eastAsia="ja-JP"/>
        </w:rPr>
        <w:t xml:space="preserve"> </w:t>
      </w:r>
      <w:r>
        <w:rPr>
          <w:rFonts w:hint="eastAsia"/>
          <w:lang w:val="en-US" w:eastAsia="ja-JP"/>
        </w:rPr>
        <w:t xml:space="preserve">has been approved in </w:t>
      </w:r>
      <w:r>
        <w:rPr>
          <w:lang w:val="en-US" w:eastAsia="ja-JP"/>
        </w:rPr>
        <w:fldChar w:fldCharType="begin"/>
      </w:r>
      <w:r>
        <w:rPr>
          <w:lang w:val="en-US" w:eastAsia="ja-JP"/>
        </w:rPr>
        <w:instrText xml:space="preserve"> </w:instrText>
      </w:r>
      <w:r>
        <w:rPr>
          <w:rFonts w:hint="eastAsia"/>
          <w:lang w:val="en-US" w:eastAsia="ja-JP"/>
        </w:rPr>
        <w:instrText>REF _Ref178263195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sidR="00642E4D">
        <w:rPr>
          <w:rFonts w:hint="eastAsia"/>
          <w:lang w:val="en-US" w:eastAsia="ja-JP"/>
        </w:rPr>
        <w:t xml:space="preserve">. </w:t>
      </w:r>
      <w:r w:rsidR="0064743D">
        <w:rPr>
          <w:rFonts w:hint="eastAsia"/>
          <w:lang w:val="en-US" w:eastAsia="ja-JP"/>
        </w:rPr>
        <w:t xml:space="preserve">RAN4 </w:t>
      </w:r>
      <w:r w:rsidR="00034535">
        <w:rPr>
          <w:rFonts w:hint="eastAsia"/>
          <w:lang w:val="en-US" w:eastAsia="ja-JP"/>
        </w:rPr>
        <w:t xml:space="preserve">has </w:t>
      </w:r>
      <w:r w:rsidR="0064743D">
        <w:rPr>
          <w:rFonts w:hint="eastAsia"/>
          <w:lang w:val="en-US" w:eastAsia="ja-JP"/>
        </w:rPr>
        <w:t>started the work since RAN4#112 meeting</w:t>
      </w:r>
      <w:r w:rsidR="00B5447E">
        <w:rPr>
          <w:rFonts w:hint="eastAsia"/>
          <w:lang w:val="en-US" w:eastAsia="ja-JP"/>
        </w:rPr>
        <w:t xml:space="preserve"> </w:t>
      </w:r>
      <w:r w:rsidR="00B5447E">
        <w:rPr>
          <w:lang w:val="en-US" w:eastAsia="ja-JP"/>
        </w:rPr>
        <w:fldChar w:fldCharType="begin"/>
      </w:r>
      <w:r w:rsidR="00B5447E">
        <w:rPr>
          <w:lang w:val="en-US" w:eastAsia="ja-JP"/>
        </w:rPr>
        <w:instrText xml:space="preserve"> </w:instrText>
      </w:r>
      <w:r w:rsidR="00B5447E">
        <w:rPr>
          <w:rFonts w:hint="eastAsia"/>
          <w:lang w:val="en-US" w:eastAsia="ja-JP"/>
        </w:rPr>
        <w:instrText>REF _Ref178263294 \r \h</w:instrText>
      </w:r>
      <w:r w:rsidR="00B5447E">
        <w:rPr>
          <w:lang w:val="en-US" w:eastAsia="ja-JP"/>
        </w:rPr>
        <w:instrText xml:space="preserve"> </w:instrText>
      </w:r>
      <w:r w:rsidR="00B5447E">
        <w:rPr>
          <w:lang w:val="en-US" w:eastAsia="ja-JP"/>
        </w:rPr>
      </w:r>
      <w:r w:rsidR="00B5447E">
        <w:rPr>
          <w:lang w:val="en-US" w:eastAsia="ja-JP"/>
        </w:rPr>
        <w:fldChar w:fldCharType="separate"/>
      </w:r>
      <w:r w:rsidR="00B5447E">
        <w:rPr>
          <w:lang w:val="en-US" w:eastAsia="ja-JP"/>
        </w:rPr>
        <w:t>[3]</w:t>
      </w:r>
      <w:r w:rsidR="00B5447E">
        <w:rPr>
          <w:lang w:val="en-US" w:eastAsia="ja-JP"/>
        </w:rPr>
        <w:fldChar w:fldCharType="end"/>
      </w:r>
      <w:r w:rsidR="00B5447E">
        <w:rPr>
          <w:lang w:val="en-US" w:eastAsia="ja-JP"/>
        </w:rPr>
        <w:fldChar w:fldCharType="begin"/>
      </w:r>
      <w:r w:rsidR="00B5447E">
        <w:rPr>
          <w:lang w:val="en-US" w:eastAsia="ja-JP"/>
        </w:rPr>
        <w:instrText xml:space="preserve"> REF _Ref178263297 \r \h </w:instrText>
      </w:r>
      <w:r w:rsidR="00B5447E">
        <w:rPr>
          <w:lang w:val="en-US" w:eastAsia="ja-JP"/>
        </w:rPr>
      </w:r>
      <w:r w:rsidR="00B5447E">
        <w:rPr>
          <w:lang w:val="en-US" w:eastAsia="ja-JP"/>
        </w:rPr>
        <w:fldChar w:fldCharType="separate"/>
      </w:r>
      <w:r w:rsidR="00B5447E">
        <w:rPr>
          <w:lang w:val="en-US" w:eastAsia="ja-JP"/>
        </w:rPr>
        <w:t>[4]</w:t>
      </w:r>
      <w:r w:rsidR="00B5447E">
        <w:rPr>
          <w:lang w:val="en-US" w:eastAsia="ja-JP"/>
        </w:rPr>
        <w:fldChar w:fldCharType="end"/>
      </w:r>
      <w:r w:rsidR="00BF06EA" w:rsidRPr="00BF06EA">
        <w:rPr>
          <w:lang w:val="en-US" w:eastAsia="ja-JP"/>
        </w:rPr>
        <w:t xml:space="preserve"> </w:t>
      </w:r>
      <w:r w:rsidR="00BF06EA">
        <w:rPr>
          <w:lang w:val="en-US" w:eastAsia="ja-JP"/>
        </w:rPr>
        <w:t>and has continued the work in RAN4#112bis</w:t>
      </w:r>
      <w:r w:rsidR="00D33DC3">
        <w:rPr>
          <w:lang w:val="en-US" w:eastAsia="ja-JP"/>
        </w:rPr>
        <w:t xml:space="preserve"> </w:t>
      </w:r>
      <w:r w:rsidR="00D41D77">
        <w:rPr>
          <w:lang w:val="en-US" w:eastAsia="ja-JP"/>
        </w:rPr>
        <w:fldChar w:fldCharType="begin"/>
      </w:r>
      <w:r w:rsidR="00D41D77">
        <w:rPr>
          <w:lang w:val="en-US" w:eastAsia="ja-JP"/>
        </w:rPr>
        <w:instrText xml:space="preserve"> REF _Ref181638568 \r \h </w:instrText>
      </w:r>
      <w:r w:rsidR="00D41D77">
        <w:rPr>
          <w:lang w:val="en-US" w:eastAsia="ja-JP"/>
        </w:rPr>
      </w:r>
      <w:r w:rsidR="00D41D77">
        <w:rPr>
          <w:lang w:val="en-US" w:eastAsia="ja-JP"/>
        </w:rPr>
        <w:fldChar w:fldCharType="separate"/>
      </w:r>
      <w:r w:rsidR="00D41D77">
        <w:rPr>
          <w:lang w:val="en-US" w:eastAsia="ja-JP"/>
        </w:rPr>
        <w:t>[6]</w:t>
      </w:r>
      <w:r w:rsidR="00D41D77">
        <w:rPr>
          <w:lang w:val="en-US" w:eastAsia="ja-JP"/>
        </w:rPr>
        <w:fldChar w:fldCharType="end"/>
      </w:r>
      <w:r w:rsidR="0064743D">
        <w:rPr>
          <w:rFonts w:hint="eastAsia"/>
          <w:lang w:val="en-US" w:eastAsia="ja-JP"/>
        </w:rPr>
        <w:t xml:space="preserve">. </w:t>
      </w:r>
      <w:r w:rsidR="00642E4D">
        <w:rPr>
          <w:rFonts w:hint="eastAsia"/>
          <w:lang w:val="en-US" w:eastAsia="ja-JP"/>
        </w:rPr>
        <w:t xml:space="preserve">For frequency range definition and numerology for Ku band(s), </w:t>
      </w:r>
      <w:r w:rsidR="00914F0B">
        <w:rPr>
          <w:lang w:val="en-US" w:eastAsia="ja-JP"/>
        </w:rPr>
        <w:t xml:space="preserve">in the past two meetings </w:t>
      </w:r>
      <w:r w:rsidR="00642E4D">
        <w:rPr>
          <w:rFonts w:hint="eastAsia"/>
          <w:lang w:val="en-US" w:eastAsia="ja-JP"/>
        </w:rPr>
        <w:t xml:space="preserve">the following WF </w:t>
      </w:r>
      <w:r w:rsidR="00914F0B">
        <w:rPr>
          <w:rFonts w:hint="eastAsia"/>
          <w:lang w:val="en-US" w:eastAsia="ja-JP"/>
        </w:rPr>
        <w:t>ha</w:t>
      </w:r>
      <w:r w:rsidR="00914F0B">
        <w:rPr>
          <w:lang w:val="en-US" w:eastAsia="ja-JP"/>
        </w:rPr>
        <w:t>ve</w:t>
      </w:r>
      <w:r w:rsidR="00914F0B">
        <w:rPr>
          <w:rFonts w:hint="eastAsia"/>
          <w:lang w:val="en-US" w:eastAsia="ja-JP"/>
        </w:rPr>
        <w:t xml:space="preserve"> </w:t>
      </w:r>
      <w:r w:rsidR="00B5447E">
        <w:rPr>
          <w:rFonts w:hint="eastAsia"/>
          <w:lang w:val="en-US" w:eastAsia="ja-JP"/>
        </w:rPr>
        <w:t xml:space="preserve">been approved in </w:t>
      </w:r>
      <w:r w:rsidR="00B5447E">
        <w:rPr>
          <w:lang w:val="en-US" w:eastAsia="ja-JP"/>
        </w:rPr>
        <w:fldChar w:fldCharType="begin"/>
      </w:r>
      <w:r w:rsidR="00B5447E">
        <w:rPr>
          <w:lang w:val="en-US" w:eastAsia="ja-JP"/>
        </w:rPr>
        <w:instrText xml:space="preserve"> </w:instrText>
      </w:r>
      <w:r w:rsidR="00B5447E">
        <w:rPr>
          <w:rFonts w:hint="eastAsia"/>
          <w:lang w:val="en-US" w:eastAsia="ja-JP"/>
        </w:rPr>
        <w:instrText>REF _Ref178263359 \r \h</w:instrText>
      </w:r>
      <w:r w:rsidR="00B5447E">
        <w:rPr>
          <w:lang w:val="en-US" w:eastAsia="ja-JP"/>
        </w:rPr>
        <w:instrText xml:space="preserve"> </w:instrText>
      </w:r>
      <w:r w:rsidR="00B5447E">
        <w:rPr>
          <w:lang w:val="en-US" w:eastAsia="ja-JP"/>
        </w:rPr>
      </w:r>
      <w:r w:rsidR="00B5447E">
        <w:rPr>
          <w:lang w:val="en-US" w:eastAsia="ja-JP"/>
        </w:rPr>
        <w:fldChar w:fldCharType="separate"/>
      </w:r>
      <w:r w:rsidR="00CC5CE4">
        <w:rPr>
          <w:lang w:val="en-US" w:eastAsia="ja-JP"/>
        </w:rPr>
        <w:t>[5]</w:t>
      </w:r>
      <w:r w:rsidR="00B5447E">
        <w:rPr>
          <w:lang w:val="en-US" w:eastAsia="ja-JP"/>
        </w:rPr>
        <w:fldChar w:fldCharType="end"/>
      </w:r>
      <w:r w:rsidR="00914F0B">
        <w:rPr>
          <w:lang w:val="en-US" w:eastAsia="ja-JP"/>
        </w:rPr>
        <w:fldChar w:fldCharType="begin"/>
      </w:r>
      <w:r w:rsidR="00914F0B">
        <w:rPr>
          <w:lang w:val="en-US" w:eastAsia="ja-JP"/>
        </w:rPr>
        <w:instrText xml:space="preserve"> REF _Ref181638568 \r \h </w:instrText>
      </w:r>
      <w:r w:rsidR="00914F0B">
        <w:rPr>
          <w:lang w:val="en-US" w:eastAsia="ja-JP"/>
        </w:rPr>
      </w:r>
      <w:r w:rsidR="00914F0B">
        <w:rPr>
          <w:lang w:val="en-US" w:eastAsia="ja-JP"/>
        </w:rPr>
        <w:fldChar w:fldCharType="separate"/>
      </w:r>
      <w:r w:rsidR="00914F0B">
        <w:rPr>
          <w:lang w:val="en-US" w:eastAsia="ja-JP"/>
        </w:rPr>
        <w:t>[6]</w:t>
      </w:r>
      <w:r w:rsidR="00914F0B">
        <w:rPr>
          <w:lang w:val="en-US" w:eastAsia="ja-JP"/>
        </w:rPr>
        <w:fldChar w:fldCharType="end"/>
      </w:r>
      <w:r w:rsidR="00B5447E">
        <w:rPr>
          <w:rFonts w:hint="eastAsia"/>
          <w:lang w:val="en-US" w:eastAsia="ja-JP"/>
        </w:rPr>
        <w:t>.</w:t>
      </w:r>
    </w:p>
    <w:tbl>
      <w:tblPr>
        <w:tblStyle w:val="TableGrid"/>
        <w:tblW w:w="0" w:type="auto"/>
        <w:tblLook w:val="04A0" w:firstRow="1" w:lastRow="0" w:firstColumn="1" w:lastColumn="0" w:noHBand="0" w:noVBand="1"/>
      </w:tblPr>
      <w:tblGrid>
        <w:gridCol w:w="9617"/>
      </w:tblGrid>
      <w:tr w:rsidR="00EC7A8A" w:rsidRPr="00614DD8" w14:paraId="39D2C272" w14:textId="77777777" w:rsidTr="002D379D">
        <w:tc>
          <w:tcPr>
            <w:tcW w:w="9617" w:type="dxa"/>
          </w:tcPr>
          <w:p w14:paraId="607D1C03"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 xml:space="preserve">Issue 3-1: </w:t>
            </w:r>
            <w:r w:rsidRPr="00642E4D">
              <w:rPr>
                <w:rFonts w:eastAsia="Times New Roman" w:cs="Times New Roman"/>
                <w:bCs/>
                <w:szCs w:val="20"/>
                <w:lang w:val="en-US" w:eastAsia="en-GB"/>
              </w:rPr>
              <w:t>Frequency range definition</w:t>
            </w:r>
          </w:p>
          <w:p w14:paraId="3AA8860B"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Following the scope of the WID, definition of a new frequency range e.g. FR3, is not in scope.</w:t>
            </w:r>
          </w:p>
          <w:p w14:paraId="6E2B1D80"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0717989C"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3-2: Numerology - Decision criteria</w:t>
            </w:r>
          </w:p>
          <w:p w14:paraId="2F465BBC"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following technical criteria will be used to determine the feasibility of FR1 and FR2 numerology</w:t>
            </w:r>
          </w:p>
          <w:p w14:paraId="393A0494"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UL timing synchronization</w:t>
            </w:r>
          </w:p>
          <w:p w14:paraId="01CE6DF9"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Phase noise</w:t>
            </w:r>
          </w:p>
          <w:p w14:paraId="675D9284"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Efficient channel utilization</w:t>
            </w:r>
          </w:p>
          <w:p w14:paraId="0BCAC07A"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Beam hopping granularity</w:t>
            </w:r>
          </w:p>
          <w:p w14:paraId="7C46CFB9" w14:textId="77777777" w:rsidR="00EC7A8A" w:rsidRPr="00EC7A8A" w:rsidRDefault="00EC7A8A" w:rsidP="00EC7A8A">
            <w:pPr>
              <w:numPr>
                <w:ilvl w:val="0"/>
                <w:numId w:val="37"/>
              </w:num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Link budget UL/DL – as a function of SCS and channel bandwidth</w:t>
            </w:r>
          </w:p>
          <w:p w14:paraId="439BF06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5061A2F6"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3-3: Numerology – timing aspects</w:t>
            </w:r>
          </w:p>
          <w:p w14:paraId="4CB59C85"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impact of SCS on timing is critical to reliable performance therefore decisions on FR1 and FR2 numerology feasibility should not be made without a thorough analysis of the issues.</w:t>
            </w:r>
          </w:p>
          <w:p w14:paraId="6E427C65"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07AB25FB"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3-4: Numerology – phase noise</w:t>
            </w:r>
          </w:p>
          <w:p w14:paraId="4BDCC84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impact of SCS on susceptibility to phase noise is critical to reliable performance therefore decisions on FR1 and FR2 numerology feasibility should not be made without a thorough analysis of the issues.</w:t>
            </w:r>
          </w:p>
          <w:p w14:paraId="6FFB36AF"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136DC5F2"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3-5: Numerology – efficient channel utilization</w:t>
            </w:r>
          </w:p>
          <w:p w14:paraId="754F9DD1"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The ability to efficiently support in future the required aggregate bandwidths [list] of NTN services for different SCS choices based on existing FR1 and FR2 channel bandwidths needs to be fully studied.</w:t>
            </w:r>
          </w:p>
          <w:p w14:paraId="0A665104"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p>
          <w:p w14:paraId="123EC41F" w14:textId="77777777" w:rsidR="00EC7A8A" w:rsidRPr="00EC7A8A" w:rsidRDefault="00EC7A8A" w:rsidP="00EC7A8A">
            <w:pPr>
              <w:overflowPunct w:val="0"/>
              <w:autoSpaceDE w:val="0"/>
              <w:autoSpaceDN w:val="0"/>
              <w:adjustRightInd w:val="0"/>
              <w:rPr>
                <w:rFonts w:eastAsia="Times New Roman" w:cs="Times New Roman"/>
                <w:bCs/>
                <w:szCs w:val="20"/>
                <w:lang w:val="en-US" w:eastAsia="en-GB"/>
              </w:rPr>
            </w:pPr>
            <w:r w:rsidRPr="00EC7A8A">
              <w:rPr>
                <w:rFonts w:eastAsia="Times New Roman" w:cs="Times New Roman"/>
                <w:bCs/>
                <w:szCs w:val="20"/>
                <w:lang w:val="en-US" w:eastAsia="en-GB"/>
              </w:rPr>
              <w:t>Issue 3-6: Numerology</w:t>
            </w:r>
            <w:r w:rsidRPr="00807681">
              <w:rPr>
                <w:rFonts w:eastAsia="Times New Roman" w:cs="Times New Roman"/>
                <w:bCs/>
                <w:szCs w:val="20"/>
                <w:lang w:val="en-US" w:eastAsia="en-GB"/>
              </w:rPr>
              <w:t>– beam hopping granularity</w:t>
            </w:r>
          </w:p>
          <w:p w14:paraId="6C537FDE" w14:textId="4A5F8E6C" w:rsidR="00EC7A8A" w:rsidRPr="00EC7A8A" w:rsidRDefault="00EC7A8A" w:rsidP="00EC7A8A">
            <w:pPr>
              <w:overflowPunct w:val="0"/>
              <w:autoSpaceDE w:val="0"/>
              <w:autoSpaceDN w:val="0"/>
              <w:adjustRightInd w:val="0"/>
              <w:rPr>
                <w:rFonts w:cs="Times New Roman"/>
                <w:bCs/>
                <w:szCs w:val="20"/>
                <w:lang w:val="en-US" w:eastAsia="ja-JP"/>
              </w:rPr>
            </w:pPr>
            <w:r w:rsidRPr="00EC7A8A">
              <w:rPr>
                <w:rFonts w:eastAsia="Times New Roman" w:cs="Times New Roman"/>
                <w:bCs/>
                <w:szCs w:val="20"/>
                <w:lang w:val="en-US" w:eastAsia="en-GB"/>
              </w:rPr>
              <w:t>An analysis of the impact of different SCS on performance, although not critical, can influence the decision on FR1 vs FR2 numerology.</w:t>
            </w:r>
          </w:p>
          <w:p w14:paraId="7E9F2170" w14:textId="77777777" w:rsidR="00EC7A8A" w:rsidRPr="00EC7A8A" w:rsidRDefault="00EC7A8A" w:rsidP="002D379D">
            <w:pPr>
              <w:rPr>
                <w:szCs w:val="20"/>
                <w:lang w:val="en-US"/>
              </w:rPr>
            </w:pPr>
          </w:p>
        </w:tc>
      </w:tr>
    </w:tbl>
    <w:p w14:paraId="47F6B585" w14:textId="77777777" w:rsidR="00CB4E02" w:rsidRPr="00614DD8" w:rsidRDefault="00CB4E02" w:rsidP="00CB4E02">
      <w:pPr>
        <w:rPr>
          <w:lang w:val="en-US" w:eastAsia="ja-JP"/>
        </w:rPr>
      </w:pPr>
    </w:p>
    <w:tbl>
      <w:tblPr>
        <w:tblStyle w:val="TableGrid"/>
        <w:tblW w:w="0" w:type="auto"/>
        <w:tblLook w:val="04A0" w:firstRow="1" w:lastRow="0" w:firstColumn="1" w:lastColumn="0" w:noHBand="0" w:noVBand="1"/>
      </w:tblPr>
      <w:tblGrid>
        <w:gridCol w:w="9617"/>
      </w:tblGrid>
      <w:tr w:rsidR="00CB4E02" w:rsidRPr="00614DD8" w14:paraId="4EA877B1" w14:textId="77777777" w:rsidTr="00325CA0">
        <w:tc>
          <w:tcPr>
            <w:tcW w:w="9617" w:type="dxa"/>
          </w:tcPr>
          <w:p w14:paraId="5E9E808A" w14:textId="77777777" w:rsidR="00CB4E02" w:rsidRPr="009B0219" w:rsidRDefault="00CB4E02" w:rsidP="00325CA0">
            <w:pPr>
              <w:overflowPunct w:val="0"/>
              <w:autoSpaceDE w:val="0"/>
              <w:autoSpaceDN w:val="0"/>
              <w:adjustRightInd w:val="0"/>
              <w:rPr>
                <w:rFonts w:eastAsia="Times New Roman" w:cs="Times New Roman"/>
                <w:bCs/>
                <w:szCs w:val="20"/>
                <w:lang w:val="en-US" w:eastAsia="en-GB"/>
              </w:rPr>
            </w:pPr>
            <w:r w:rsidRPr="009B0219">
              <w:rPr>
                <w:rFonts w:eastAsia="Times New Roman" w:cs="Times New Roman"/>
                <w:bCs/>
                <w:szCs w:val="20"/>
                <w:lang w:val="en-US" w:eastAsia="en-GB"/>
              </w:rPr>
              <w:t>Sub-topic 3-4: Phase noise target SNR</w:t>
            </w:r>
          </w:p>
          <w:p w14:paraId="01B60414" w14:textId="77777777" w:rsidR="00CB4E02" w:rsidRPr="009B0219" w:rsidRDefault="00CB4E02" w:rsidP="00325CA0">
            <w:pPr>
              <w:overflowPunct w:val="0"/>
              <w:autoSpaceDE w:val="0"/>
              <w:autoSpaceDN w:val="0"/>
              <w:adjustRightInd w:val="0"/>
              <w:rPr>
                <w:rFonts w:eastAsia="Times New Roman" w:cs="Times New Roman"/>
                <w:bCs/>
                <w:szCs w:val="20"/>
                <w:lang w:val="en-US" w:eastAsia="en-GB"/>
              </w:rPr>
            </w:pPr>
            <w:r w:rsidRPr="009B0219">
              <w:rPr>
                <w:rFonts w:eastAsia="Times New Roman" w:cs="Times New Roman"/>
                <w:bCs/>
                <w:szCs w:val="20"/>
                <w:lang w:val="en-US" w:eastAsia="en-GB"/>
              </w:rPr>
              <w:t>Further analysis on the impact of phase noise on FR1/FR2 numerology selection should assume a maximum of 12 dB SNR and maximum 16QAM modulation. This is just for analysis and is not intended to limit support of higher MCS.</w:t>
            </w:r>
          </w:p>
          <w:p w14:paraId="3EC733DB" w14:textId="77777777" w:rsidR="00CB4E02" w:rsidRPr="009B0219" w:rsidRDefault="00CB4E02" w:rsidP="00325CA0">
            <w:pPr>
              <w:overflowPunct w:val="0"/>
              <w:autoSpaceDE w:val="0"/>
              <w:autoSpaceDN w:val="0"/>
              <w:adjustRightInd w:val="0"/>
              <w:rPr>
                <w:rFonts w:eastAsia="Times New Roman" w:cs="Times New Roman"/>
                <w:bCs/>
                <w:szCs w:val="20"/>
                <w:lang w:val="en-US" w:eastAsia="en-GB"/>
              </w:rPr>
            </w:pPr>
          </w:p>
          <w:p w14:paraId="7B1D2210" w14:textId="77777777" w:rsidR="00CB4E02" w:rsidRPr="009B0219" w:rsidRDefault="00CB4E02" w:rsidP="00325CA0">
            <w:pPr>
              <w:overflowPunct w:val="0"/>
              <w:autoSpaceDE w:val="0"/>
              <w:autoSpaceDN w:val="0"/>
              <w:adjustRightInd w:val="0"/>
              <w:rPr>
                <w:rFonts w:eastAsia="Times New Roman" w:cs="Times New Roman"/>
                <w:bCs/>
                <w:szCs w:val="20"/>
                <w:lang w:val="en-US" w:eastAsia="en-GB"/>
              </w:rPr>
            </w:pPr>
            <w:r w:rsidRPr="009B0219">
              <w:rPr>
                <w:rFonts w:eastAsia="Times New Roman" w:cs="Times New Roman"/>
                <w:bCs/>
                <w:szCs w:val="20"/>
                <w:lang w:val="en-US" w:eastAsia="en-GB"/>
              </w:rPr>
              <w:t>Sub-topic 3-5: Efficient use of spectrum for FR1 – native bandwidths</w:t>
            </w:r>
          </w:p>
          <w:p w14:paraId="27B0B7ED" w14:textId="77777777" w:rsidR="00CB4E02" w:rsidRPr="009B0219" w:rsidRDefault="00CB4E02" w:rsidP="00325CA0">
            <w:pPr>
              <w:overflowPunct w:val="0"/>
              <w:autoSpaceDE w:val="0"/>
              <w:autoSpaceDN w:val="0"/>
              <w:adjustRightInd w:val="0"/>
              <w:rPr>
                <w:rFonts w:cs="Times New Roman"/>
                <w:bCs/>
                <w:szCs w:val="20"/>
                <w:lang w:val="en-US" w:eastAsia="ja-JP"/>
              </w:rPr>
            </w:pPr>
            <w:r w:rsidRPr="009B0219">
              <w:rPr>
                <w:rFonts w:eastAsia="Times New Roman" w:cs="Times New Roman"/>
                <w:bCs/>
                <w:szCs w:val="20"/>
                <w:lang w:val="en-US" w:eastAsia="en-GB"/>
              </w:rPr>
              <w:t xml:space="preserve">Assume 10 MHz and 25 MHz native bandwidths are included in the analysis of spectrum use efficiency. </w:t>
            </w:r>
          </w:p>
          <w:p w14:paraId="418CB92B" w14:textId="77777777" w:rsidR="00CB4E02" w:rsidRPr="009B0219" w:rsidRDefault="00CB4E02" w:rsidP="00325CA0">
            <w:pPr>
              <w:rPr>
                <w:szCs w:val="20"/>
              </w:rPr>
            </w:pPr>
            <w:r w:rsidRPr="009B0219">
              <w:rPr>
                <w:rFonts w:eastAsia="Times New Roman" w:cs="Times New Roman"/>
                <w:bCs/>
                <w:szCs w:val="20"/>
                <w:lang w:val="en-US" w:eastAsia="en-GB"/>
              </w:rPr>
              <w:t xml:space="preserve"> </w:t>
            </w:r>
          </w:p>
        </w:tc>
      </w:tr>
    </w:tbl>
    <w:p w14:paraId="3004AFAC" w14:textId="77777777" w:rsidR="00CB4E02" w:rsidRDefault="00CB4E02" w:rsidP="00CB4E02"/>
    <w:p w14:paraId="6EBC2236" w14:textId="6A2E3E1F" w:rsidR="00B5447E" w:rsidRDefault="00B5447E" w:rsidP="00D9052A">
      <w:pPr>
        <w:rPr>
          <w:lang w:eastAsia="ja-JP"/>
        </w:rPr>
      </w:pPr>
      <w:r>
        <w:rPr>
          <w:rFonts w:hint="eastAsia"/>
          <w:lang w:eastAsia="ja-JP"/>
        </w:rPr>
        <w:t xml:space="preserve">In this contribution, we discuss the </w:t>
      </w:r>
      <w:r>
        <w:rPr>
          <w:lang w:eastAsia="ja-JP"/>
        </w:rPr>
        <w:t>numerology</w:t>
      </w:r>
      <w:r>
        <w:rPr>
          <w:rFonts w:hint="eastAsia"/>
          <w:lang w:eastAsia="ja-JP"/>
        </w:rPr>
        <w:t xml:space="preserve"> for Ku band according to the WF above.</w:t>
      </w:r>
      <w:r w:rsidR="00807681">
        <w:rPr>
          <w:rFonts w:hint="eastAsia"/>
          <w:lang w:eastAsia="ja-JP"/>
        </w:rPr>
        <w:t xml:space="preserve"> </w:t>
      </w:r>
      <w:r w:rsidR="00807681">
        <w:rPr>
          <w:lang w:eastAsia="ja-JP"/>
        </w:rPr>
        <w:t>Furthermore</w:t>
      </w:r>
      <w:r w:rsidR="00807681">
        <w:rPr>
          <w:rFonts w:hint="eastAsia"/>
          <w:lang w:eastAsia="ja-JP"/>
        </w:rPr>
        <w:t xml:space="preserve">, </w:t>
      </w:r>
      <w:r w:rsidR="007B187E">
        <w:rPr>
          <w:rFonts w:hint="eastAsia"/>
          <w:lang w:eastAsia="ja-JP"/>
        </w:rPr>
        <w:t>we discuss other remaining aspects of system parameters for Ku band.</w:t>
      </w:r>
    </w:p>
    <w:p w14:paraId="1835C287" w14:textId="77777777" w:rsidR="003B659E" w:rsidRDefault="003B659E" w:rsidP="00AE56B1">
      <w:pPr>
        <w:pStyle w:val="RAN4H1"/>
        <w:rPr>
          <w:rFonts w:eastAsia="MS Mincho"/>
          <w:lang w:val="en-US" w:eastAsia="ja-JP"/>
        </w:rPr>
      </w:pPr>
      <w:bookmarkStart w:id="4" w:name="_Toc116995842"/>
      <w:r w:rsidRPr="00614DD8">
        <w:rPr>
          <w:lang w:val="en-US"/>
        </w:rPr>
        <w:lastRenderedPageBreak/>
        <w:t>Discussion</w:t>
      </w:r>
      <w:bookmarkEnd w:id="4"/>
    </w:p>
    <w:p w14:paraId="564A0D83" w14:textId="6E331D5B" w:rsidR="0061508D" w:rsidRPr="009A419B" w:rsidRDefault="0061508D" w:rsidP="009A419B">
      <w:pPr>
        <w:pStyle w:val="RAN4H2"/>
      </w:pPr>
      <w:bookmarkStart w:id="5" w:name="_Ref178781399"/>
      <w:r w:rsidRPr="009A419B">
        <w:rPr>
          <w:rFonts w:hint="eastAsia"/>
        </w:rPr>
        <w:t>Frequency range</w:t>
      </w:r>
      <w:bookmarkEnd w:id="5"/>
    </w:p>
    <w:p w14:paraId="09FFBB34" w14:textId="3FF93896" w:rsidR="009B4724" w:rsidRDefault="0061508D" w:rsidP="00931197">
      <w:pPr>
        <w:rPr>
          <w:lang w:val="en-US" w:eastAsia="ja-JP"/>
        </w:rPr>
      </w:pPr>
      <w:r>
        <w:rPr>
          <w:lang w:val="en-US" w:eastAsia="ja-JP"/>
        </w:rPr>
        <w:t>I</w:t>
      </w:r>
      <w:r>
        <w:rPr>
          <w:rFonts w:hint="eastAsia"/>
          <w:lang w:val="en-US" w:eastAsia="ja-JP"/>
        </w:rPr>
        <w:t xml:space="preserve">n TS 38.101-5, FR1-NTN frequency range is defined for 410-7125 MHz and FR2-NTN frequency range is defined for 17300-30000 </w:t>
      </w:r>
      <w:proofErr w:type="spellStart"/>
      <w:r>
        <w:rPr>
          <w:rFonts w:hint="eastAsia"/>
          <w:lang w:val="en-US" w:eastAsia="ja-JP"/>
        </w:rPr>
        <w:t>MHz.</w:t>
      </w:r>
      <w:proofErr w:type="spellEnd"/>
      <w:r>
        <w:rPr>
          <w:rFonts w:hint="eastAsia"/>
          <w:lang w:val="en-US" w:eastAsia="ja-JP"/>
        </w:rPr>
        <w:t xml:space="preserve"> </w:t>
      </w:r>
      <w:r w:rsidR="00931197">
        <w:rPr>
          <w:lang w:val="en-US" w:eastAsia="ja-JP"/>
        </w:rPr>
        <w:t>Furthermore,</w:t>
      </w:r>
      <w:r>
        <w:rPr>
          <w:rFonts w:hint="eastAsia"/>
          <w:lang w:val="en-US" w:eastAsia="ja-JP"/>
        </w:rPr>
        <w:t xml:space="preserve"> in TS 38.101-</w:t>
      </w:r>
      <w:r w:rsidR="00931197">
        <w:rPr>
          <w:rFonts w:hint="eastAsia"/>
          <w:lang w:val="en-US" w:eastAsia="ja-JP"/>
        </w:rPr>
        <w:t>1/2,</w:t>
      </w:r>
      <w:r>
        <w:rPr>
          <w:rFonts w:hint="eastAsia"/>
          <w:lang w:val="en-US" w:eastAsia="ja-JP"/>
        </w:rPr>
        <w:t xml:space="preserve"> FR1 is defined for 410-7125 MHz, FR2-1 for 24250 </w:t>
      </w:r>
      <w:r>
        <w:rPr>
          <w:lang w:val="en-US" w:eastAsia="ja-JP"/>
        </w:rPr>
        <w:t>–</w:t>
      </w:r>
      <w:r>
        <w:rPr>
          <w:rFonts w:hint="eastAsia"/>
          <w:lang w:val="en-US" w:eastAsia="ja-JP"/>
        </w:rPr>
        <w:t xml:space="preserve"> 52600 MHz and FR2-2 for 52600 </w:t>
      </w:r>
      <w:r>
        <w:rPr>
          <w:lang w:val="en-US" w:eastAsia="ja-JP"/>
        </w:rPr>
        <w:t>–</w:t>
      </w:r>
      <w:r>
        <w:rPr>
          <w:rFonts w:hint="eastAsia"/>
          <w:lang w:val="en-US" w:eastAsia="ja-JP"/>
        </w:rPr>
        <w:t xml:space="preserve"> 71000 </w:t>
      </w:r>
      <w:proofErr w:type="spellStart"/>
      <w:r>
        <w:rPr>
          <w:rFonts w:hint="eastAsia"/>
          <w:lang w:val="en-US" w:eastAsia="ja-JP"/>
        </w:rPr>
        <w:t>MHz</w:t>
      </w:r>
      <w:r w:rsidR="00931197">
        <w:rPr>
          <w:rFonts w:hint="eastAsia"/>
          <w:lang w:val="en-US" w:eastAsia="ja-JP"/>
        </w:rPr>
        <w:t>.</w:t>
      </w:r>
      <w:proofErr w:type="spellEnd"/>
      <w:r w:rsidR="00931197">
        <w:rPr>
          <w:rFonts w:hint="eastAsia"/>
          <w:lang w:val="en-US" w:eastAsia="ja-JP"/>
        </w:rPr>
        <w:t xml:space="preserve"> There is no existing frequency range for Ku band in both the NTN and TN specifications.</w:t>
      </w:r>
    </w:p>
    <w:p w14:paraId="0ECC9B6B" w14:textId="23DF1DD5" w:rsidR="00D84A56" w:rsidRDefault="00034535" w:rsidP="00931197">
      <w:pPr>
        <w:rPr>
          <w:lang w:val="en-US" w:eastAsia="ja-JP"/>
        </w:rPr>
      </w:pPr>
      <w:r>
        <w:rPr>
          <w:rFonts w:hint="eastAsia"/>
          <w:lang w:val="en-US" w:eastAsia="ja-JP"/>
        </w:rPr>
        <w:t>A</w:t>
      </w:r>
      <w:r w:rsidR="00D84A56">
        <w:rPr>
          <w:rFonts w:hint="eastAsia"/>
          <w:lang w:val="en-US" w:eastAsia="ja-JP"/>
        </w:rPr>
        <w:t>greed in Issue 3-1, defining a new frequency range is out of scope of the WI</w:t>
      </w:r>
      <w:r>
        <w:rPr>
          <w:rFonts w:hint="eastAsia"/>
          <w:lang w:val="en-US" w:eastAsia="ja-JP"/>
        </w:rPr>
        <w:t>.</w:t>
      </w:r>
      <w:r w:rsidR="00D84A56">
        <w:rPr>
          <w:rFonts w:hint="eastAsia"/>
          <w:lang w:val="en-US" w:eastAsia="ja-JP"/>
        </w:rPr>
        <w:t xml:space="preserve"> </w:t>
      </w:r>
      <w:r>
        <w:rPr>
          <w:rFonts w:hint="eastAsia"/>
          <w:lang w:val="en-US" w:eastAsia="ja-JP"/>
        </w:rPr>
        <w:t>Thus</w:t>
      </w:r>
      <w:r w:rsidR="00D84A56">
        <w:rPr>
          <w:rFonts w:hint="eastAsia"/>
          <w:lang w:val="en-US" w:eastAsia="ja-JP"/>
        </w:rPr>
        <w:t xml:space="preserve">, we reuse </w:t>
      </w:r>
      <w:r w:rsidR="0080295B">
        <w:rPr>
          <w:rFonts w:hint="eastAsia"/>
          <w:lang w:val="en-US" w:eastAsia="ja-JP"/>
        </w:rPr>
        <w:t xml:space="preserve">either </w:t>
      </w:r>
      <w:r w:rsidR="00D84A56">
        <w:rPr>
          <w:rFonts w:hint="eastAsia"/>
          <w:lang w:val="en-US" w:eastAsia="ja-JP"/>
        </w:rPr>
        <w:t>FR1</w:t>
      </w:r>
      <w:r w:rsidR="0080295B">
        <w:rPr>
          <w:rFonts w:hint="eastAsia"/>
          <w:lang w:val="en-US" w:eastAsia="ja-JP"/>
        </w:rPr>
        <w:t>-NTN</w:t>
      </w:r>
      <w:r w:rsidR="00D84A56">
        <w:rPr>
          <w:rFonts w:hint="eastAsia"/>
          <w:lang w:val="en-US" w:eastAsia="ja-JP"/>
        </w:rPr>
        <w:t xml:space="preserve"> or FR2</w:t>
      </w:r>
      <w:r w:rsidR="00156DAC">
        <w:rPr>
          <w:rFonts w:hint="eastAsia"/>
          <w:lang w:val="en-US" w:eastAsia="ja-JP"/>
        </w:rPr>
        <w:t>-</w:t>
      </w:r>
      <w:r w:rsidR="0080295B">
        <w:rPr>
          <w:rFonts w:hint="eastAsia"/>
          <w:lang w:val="en-US" w:eastAsia="ja-JP"/>
        </w:rPr>
        <w:t>NTN</w:t>
      </w:r>
      <w:r w:rsidR="00D84A56">
        <w:rPr>
          <w:rFonts w:hint="eastAsia"/>
          <w:lang w:val="en-US" w:eastAsia="ja-JP"/>
        </w:rPr>
        <w:t xml:space="preserve"> for Ku band</w:t>
      </w:r>
      <w:r w:rsidR="0080295B">
        <w:rPr>
          <w:rFonts w:hint="eastAsia"/>
          <w:lang w:val="en-US" w:eastAsia="ja-JP"/>
        </w:rPr>
        <w:t xml:space="preserve"> by </w:t>
      </w:r>
      <w:r w:rsidR="0080295B">
        <w:rPr>
          <w:lang w:val="en-US" w:eastAsia="ja-JP"/>
        </w:rPr>
        <w:t>exte</w:t>
      </w:r>
      <w:r w:rsidR="00156DAC">
        <w:rPr>
          <w:rFonts w:hint="eastAsia"/>
          <w:lang w:val="en-US" w:eastAsia="ja-JP"/>
        </w:rPr>
        <w:t>nding</w:t>
      </w:r>
      <w:r w:rsidR="0080295B">
        <w:rPr>
          <w:rFonts w:hint="eastAsia"/>
          <w:lang w:val="en-US" w:eastAsia="ja-JP"/>
        </w:rPr>
        <w:t xml:space="preserve"> </w:t>
      </w:r>
      <w:r w:rsidR="00156DAC">
        <w:rPr>
          <w:rFonts w:hint="eastAsia"/>
          <w:lang w:val="en-US" w:eastAsia="ja-JP"/>
        </w:rPr>
        <w:t>one of the</w:t>
      </w:r>
      <w:r w:rsidR="0080295B">
        <w:rPr>
          <w:rFonts w:hint="eastAsia"/>
          <w:lang w:val="en-US" w:eastAsia="ja-JP"/>
        </w:rPr>
        <w:t xml:space="preserve"> existing </w:t>
      </w:r>
      <w:r w:rsidR="00201AD0">
        <w:rPr>
          <w:rFonts w:hint="eastAsia"/>
          <w:lang w:val="en-US" w:eastAsia="ja-JP"/>
        </w:rPr>
        <w:t xml:space="preserve">NTN </w:t>
      </w:r>
      <w:r w:rsidR="0080295B">
        <w:rPr>
          <w:rFonts w:hint="eastAsia"/>
          <w:lang w:val="en-US" w:eastAsia="ja-JP"/>
        </w:rPr>
        <w:t>frequency range</w:t>
      </w:r>
      <w:r w:rsidR="00156DAC">
        <w:rPr>
          <w:rFonts w:hint="eastAsia"/>
          <w:lang w:val="en-US" w:eastAsia="ja-JP"/>
        </w:rPr>
        <w:t>s</w:t>
      </w:r>
      <w:r w:rsidR="00D84A56">
        <w:rPr>
          <w:rFonts w:hint="eastAsia"/>
          <w:lang w:val="en-US" w:eastAsia="ja-JP"/>
        </w:rPr>
        <w:t>.</w:t>
      </w:r>
    </w:p>
    <w:p w14:paraId="72C343AD" w14:textId="0026E991" w:rsidR="00C43803" w:rsidRPr="00476CBE" w:rsidRDefault="00C43803" w:rsidP="00C43803">
      <w:pPr>
        <w:rPr>
          <w:lang w:val="en-US" w:eastAsia="ja-JP"/>
        </w:rPr>
      </w:pPr>
    </w:p>
    <w:p w14:paraId="1D02E956" w14:textId="44C21697" w:rsidR="00BF06EA" w:rsidRPr="00BF06EA" w:rsidRDefault="00BF06EA" w:rsidP="00BF06EA">
      <w:pPr>
        <w:pStyle w:val="RAN4H2"/>
      </w:pPr>
      <w:r>
        <w:t>Analyzing the choice of numerology for the Ku-band</w:t>
      </w:r>
    </w:p>
    <w:p w14:paraId="123647C6" w14:textId="1F3EC8FD" w:rsidR="006018C0" w:rsidRDefault="006018C0" w:rsidP="006018C0">
      <w:pPr>
        <w:rPr>
          <w:szCs w:val="20"/>
          <w:lang w:eastAsia="ja-JP"/>
        </w:rPr>
      </w:pPr>
      <w:r>
        <w:rPr>
          <w:rFonts w:hint="eastAsia"/>
          <w:lang w:val="en-US" w:eastAsia="ja-JP"/>
        </w:rPr>
        <w:t xml:space="preserve">Priority 1 in the WI objective is to support </w:t>
      </w:r>
      <w:r>
        <w:rPr>
          <w:szCs w:val="20"/>
        </w:rPr>
        <w:t>125 MHz (UL</w:t>
      </w:r>
      <w:proofErr w:type="gramStart"/>
      <w:r>
        <w:rPr>
          <w:szCs w:val="20"/>
        </w:rPr>
        <w:t>)</w:t>
      </w:r>
      <w:proofErr w:type="gramEnd"/>
      <w:r>
        <w:rPr>
          <w:szCs w:val="20"/>
        </w:rPr>
        <w:t xml:space="preserve"> and 250 MHz (DL) aggregated bandwidths </w:t>
      </w:r>
      <w:r w:rsidRPr="00050C69">
        <w:rPr>
          <w:szCs w:val="20"/>
        </w:rPr>
        <w:t>based on existing channel bandwidths</w:t>
      </w:r>
      <w:r>
        <w:rPr>
          <w:szCs w:val="20"/>
        </w:rPr>
        <w:t>.</w:t>
      </w:r>
      <w:r>
        <w:rPr>
          <w:rFonts w:hint="eastAsia"/>
          <w:szCs w:val="20"/>
          <w:lang w:eastAsia="ja-JP"/>
        </w:rPr>
        <w:t xml:space="preserve"> </w:t>
      </w:r>
      <w:r w:rsidR="003E544C">
        <w:rPr>
          <w:rFonts w:hint="eastAsia"/>
          <w:szCs w:val="20"/>
          <w:lang w:eastAsia="ja-JP"/>
        </w:rPr>
        <w:t>As mentioned in the WI objective, f</w:t>
      </w:r>
      <w:r>
        <w:rPr>
          <w:rFonts w:hint="eastAsia"/>
          <w:szCs w:val="20"/>
          <w:lang w:eastAsia="ja-JP"/>
        </w:rPr>
        <w:t xml:space="preserve">or FR1-NTN, </w:t>
      </w:r>
      <w:r>
        <w:rPr>
          <w:szCs w:val="20"/>
        </w:rPr>
        <w:t>20 MHz, 35 MHz, 50 MHz, 70 MHz and 100 MHz channel bandwidths with 30 kHz subcarrier spacing</w:t>
      </w:r>
      <w:r>
        <w:rPr>
          <w:rFonts w:hint="eastAsia"/>
          <w:szCs w:val="20"/>
          <w:lang w:eastAsia="ja-JP"/>
        </w:rPr>
        <w:t xml:space="preserve"> can be introduced</w:t>
      </w:r>
      <w:r w:rsidR="004F4255">
        <w:rPr>
          <w:rFonts w:hint="eastAsia"/>
          <w:szCs w:val="20"/>
          <w:lang w:eastAsia="ja-JP"/>
        </w:rPr>
        <w:t>, though it is not restricted to</w:t>
      </w:r>
      <w:r>
        <w:rPr>
          <w:rFonts w:hint="eastAsia"/>
          <w:szCs w:val="20"/>
          <w:lang w:eastAsia="ja-JP"/>
        </w:rPr>
        <w:t xml:space="preserve">. For </w:t>
      </w:r>
      <w:r>
        <w:rPr>
          <w:szCs w:val="20"/>
        </w:rPr>
        <w:t>FR2-NTN</w:t>
      </w:r>
      <w:r>
        <w:rPr>
          <w:rFonts w:hint="eastAsia"/>
          <w:szCs w:val="20"/>
          <w:lang w:eastAsia="ja-JP"/>
        </w:rPr>
        <w:t xml:space="preserve">, </w:t>
      </w:r>
      <w:r>
        <w:rPr>
          <w:szCs w:val="20"/>
        </w:rPr>
        <w:t>50 MHz, 100 MHz, 200 MHz, 400 MHz (120kHz SCS only) channel bandwidths with 120 kHz subcarrier spacing</w:t>
      </w:r>
      <w:r>
        <w:rPr>
          <w:rFonts w:hint="eastAsia"/>
          <w:szCs w:val="20"/>
          <w:lang w:eastAsia="ja-JP"/>
        </w:rPr>
        <w:t xml:space="preserve"> can be introduced.</w:t>
      </w:r>
    </w:p>
    <w:p w14:paraId="7D0FFD7E" w14:textId="4FB56C0F" w:rsidR="00BF06EA" w:rsidRDefault="00BF06EA" w:rsidP="006018C0">
      <w:pPr>
        <w:rPr>
          <w:szCs w:val="20"/>
          <w:lang w:eastAsia="ja-JP"/>
        </w:rPr>
      </w:pPr>
      <w:r>
        <w:rPr>
          <w:szCs w:val="20"/>
          <w:lang w:eastAsia="ja-JP"/>
        </w:rPr>
        <w:t xml:space="preserve">In other words, this WI intends to </w:t>
      </w:r>
      <w:proofErr w:type="spellStart"/>
      <w:r>
        <w:rPr>
          <w:szCs w:val="20"/>
          <w:lang w:eastAsia="ja-JP"/>
        </w:rPr>
        <w:t>analyze</w:t>
      </w:r>
      <w:proofErr w:type="spellEnd"/>
      <w:r>
        <w:rPr>
          <w:szCs w:val="20"/>
          <w:lang w:eastAsia="ja-JP"/>
        </w:rPr>
        <w:t xml:space="preserve"> whether FR1-NTN or FR2-NTN numerology should be chosen as applicable over Ku bands. </w:t>
      </w:r>
      <w:r w:rsidR="002D2472">
        <w:rPr>
          <w:szCs w:val="20"/>
          <w:lang w:eastAsia="ja-JP"/>
        </w:rPr>
        <w:t xml:space="preserve">There is currently an ongoing effort in this WI to identify relevant aspects to be considered for the evaluation of the feasibility of both numerologies. In the WF proposed in </w:t>
      </w:r>
      <w:r w:rsidR="002D2472">
        <w:rPr>
          <w:szCs w:val="20"/>
          <w:lang w:eastAsia="ja-JP"/>
        </w:rPr>
        <w:fldChar w:fldCharType="begin"/>
      </w:r>
      <w:r w:rsidR="002D2472">
        <w:rPr>
          <w:szCs w:val="20"/>
          <w:lang w:eastAsia="ja-JP"/>
        </w:rPr>
        <w:instrText xml:space="preserve"> REF _Ref178263359 \r \h </w:instrText>
      </w:r>
      <w:r w:rsidR="002D2472">
        <w:rPr>
          <w:szCs w:val="20"/>
          <w:lang w:eastAsia="ja-JP"/>
        </w:rPr>
      </w:r>
      <w:r w:rsidR="002D2472">
        <w:rPr>
          <w:szCs w:val="20"/>
          <w:lang w:eastAsia="ja-JP"/>
        </w:rPr>
        <w:fldChar w:fldCharType="separate"/>
      </w:r>
      <w:r w:rsidR="002D2472">
        <w:rPr>
          <w:szCs w:val="20"/>
          <w:lang w:eastAsia="ja-JP"/>
        </w:rPr>
        <w:t>[5]</w:t>
      </w:r>
      <w:r w:rsidR="002D2472">
        <w:rPr>
          <w:szCs w:val="20"/>
          <w:lang w:eastAsia="ja-JP"/>
        </w:rPr>
        <w:fldChar w:fldCharType="end"/>
      </w:r>
      <w:r w:rsidR="002D2472">
        <w:rPr>
          <w:szCs w:val="20"/>
          <w:lang w:eastAsia="ja-JP"/>
        </w:rPr>
        <w:t>, a few technical items were identified as potential decision criteria:</w:t>
      </w:r>
    </w:p>
    <w:p w14:paraId="745AEFCD" w14:textId="77777777" w:rsidR="002D2472" w:rsidRPr="002D2472" w:rsidRDefault="002D2472" w:rsidP="00051BAF">
      <w:pPr>
        <w:numPr>
          <w:ilvl w:val="0"/>
          <w:numId w:val="40"/>
        </w:numPr>
        <w:rPr>
          <w:szCs w:val="20"/>
          <w:lang w:val="en-US" w:eastAsia="ja-JP"/>
        </w:rPr>
      </w:pPr>
      <w:r w:rsidRPr="002D2472">
        <w:rPr>
          <w:szCs w:val="20"/>
          <w:lang w:val="en-US" w:eastAsia="ja-JP"/>
        </w:rPr>
        <w:t>UL timing synchronization</w:t>
      </w:r>
    </w:p>
    <w:p w14:paraId="5FAE9471" w14:textId="77777777" w:rsidR="002D2472" w:rsidRPr="002D2472" w:rsidRDefault="002D2472" w:rsidP="00051BAF">
      <w:pPr>
        <w:numPr>
          <w:ilvl w:val="0"/>
          <w:numId w:val="40"/>
        </w:numPr>
        <w:rPr>
          <w:szCs w:val="20"/>
          <w:lang w:val="en-US" w:eastAsia="ja-JP"/>
        </w:rPr>
      </w:pPr>
      <w:r w:rsidRPr="002D2472">
        <w:rPr>
          <w:szCs w:val="20"/>
          <w:lang w:val="en-US" w:eastAsia="ja-JP"/>
        </w:rPr>
        <w:t>Phase noise</w:t>
      </w:r>
    </w:p>
    <w:p w14:paraId="47818E63" w14:textId="77777777" w:rsidR="002D2472" w:rsidRPr="002D2472" w:rsidRDefault="002D2472" w:rsidP="00051BAF">
      <w:pPr>
        <w:numPr>
          <w:ilvl w:val="0"/>
          <w:numId w:val="40"/>
        </w:numPr>
        <w:rPr>
          <w:szCs w:val="20"/>
          <w:lang w:val="en-US" w:eastAsia="ja-JP"/>
        </w:rPr>
      </w:pPr>
      <w:r w:rsidRPr="002D2472">
        <w:rPr>
          <w:szCs w:val="20"/>
          <w:lang w:val="en-US" w:eastAsia="ja-JP"/>
        </w:rPr>
        <w:t>Efficient channel utilization</w:t>
      </w:r>
    </w:p>
    <w:p w14:paraId="504055EA" w14:textId="77777777" w:rsidR="002D2472" w:rsidRPr="002D2472" w:rsidRDefault="002D2472" w:rsidP="00051BAF">
      <w:pPr>
        <w:numPr>
          <w:ilvl w:val="0"/>
          <w:numId w:val="40"/>
        </w:numPr>
        <w:rPr>
          <w:szCs w:val="20"/>
          <w:lang w:val="en-US" w:eastAsia="ja-JP"/>
        </w:rPr>
      </w:pPr>
      <w:r w:rsidRPr="002D2472">
        <w:rPr>
          <w:szCs w:val="20"/>
          <w:lang w:val="en-US" w:eastAsia="ja-JP"/>
        </w:rPr>
        <w:t>Beam hopping granularity</w:t>
      </w:r>
    </w:p>
    <w:p w14:paraId="4F2CC5B4" w14:textId="77777777" w:rsidR="002D2472" w:rsidRPr="002D2472" w:rsidRDefault="002D2472" w:rsidP="00051BAF">
      <w:pPr>
        <w:numPr>
          <w:ilvl w:val="0"/>
          <w:numId w:val="40"/>
        </w:numPr>
        <w:rPr>
          <w:szCs w:val="20"/>
          <w:lang w:val="en-US" w:eastAsia="ja-JP"/>
        </w:rPr>
      </w:pPr>
      <w:r w:rsidRPr="002D2472">
        <w:rPr>
          <w:szCs w:val="20"/>
          <w:lang w:val="en-US" w:eastAsia="ja-JP"/>
        </w:rPr>
        <w:t>Link budget UL/DL – as a function of SCS and channel bandwidth</w:t>
      </w:r>
    </w:p>
    <w:p w14:paraId="022C95E3" w14:textId="0A262932" w:rsidR="002D2472" w:rsidRDefault="002D2472" w:rsidP="006018C0">
      <w:pPr>
        <w:rPr>
          <w:szCs w:val="20"/>
          <w:lang w:val="en-US" w:eastAsia="ja-JP"/>
        </w:rPr>
      </w:pPr>
      <w:r>
        <w:rPr>
          <w:szCs w:val="20"/>
          <w:lang w:val="en-US" w:eastAsia="ja-JP"/>
        </w:rPr>
        <w:t>In this contribution we’ll provide our view regarding the afore mentioned criteria.</w:t>
      </w:r>
    </w:p>
    <w:p w14:paraId="41ECD5AB" w14:textId="77777777" w:rsidR="00195418" w:rsidRDefault="00195418" w:rsidP="006018C0">
      <w:pPr>
        <w:rPr>
          <w:szCs w:val="20"/>
          <w:lang w:val="en-US" w:eastAsia="ja-JP"/>
        </w:rPr>
      </w:pPr>
    </w:p>
    <w:p w14:paraId="2401F509" w14:textId="4CC18566" w:rsidR="002D2472" w:rsidRDefault="002D2472" w:rsidP="002D2472">
      <w:pPr>
        <w:pStyle w:val="RAN4H3"/>
        <w:rPr>
          <w:lang w:val="en-US" w:eastAsia="ja-JP"/>
        </w:rPr>
      </w:pPr>
      <w:r>
        <w:rPr>
          <w:lang w:val="en-US" w:eastAsia="ja-JP"/>
        </w:rPr>
        <w:t>UL Timing Synchronization</w:t>
      </w:r>
    </w:p>
    <w:p w14:paraId="23C04717" w14:textId="693E7390" w:rsidR="00E546F4" w:rsidRDefault="002D2472" w:rsidP="006018C0">
      <w:pPr>
        <w:rPr>
          <w:lang w:val="en-US" w:eastAsia="ja-JP"/>
        </w:rPr>
      </w:pPr>
      <w:r>
        <w:rPr>
          <w:lang w:val="en-US" w:eastAsia="ja-JP"/>
        </w:rPr>
        <w:t>The UL timing synchronization mechanism chosen for the NTN feature</w:t>
      </w:r>
      <w:r w:rsidR="001242C7">
        <w:rPr>
          <w:lang w:val="en-US" w:eastAsia="ja-JP"/>
        </w:rPr>
        <w:t xml:space="preserve"> differs from legacy timing synchronization in TN, but it is</w:t>
      </w:r>
      <w:r>
        <w:rPr>
          <w:lang w:val="en-US" w:eastAsia="ja-JP"/>
        </w:rPr>
        <w:t xml:space="preserve"> the same for FR1-NTN and FR2-NTN</w:t>
      </w:r>
      <w:r w:rsidR="001242C7">
        <w:rPr>
          <w:lang w:val="en-US" w:eastAsia="ja-JP"/>
        </w:rPr>
        <w:t xml:space="preserve">. It relies on timing advance pre-compensation performed by the UE based on </w:t>
      </w:r>
      <w:r w:rsidR="005B7CED">
        <w:rPr>
          <w:lang w:val="en-US" w:eastAsia="ja-JP"/>
        </w:rPr>
        <w:t xml:space="preserve">its own GNSS position and satellite assistance information. </w:t>
      </w:r>
      <w:proofErr w:type="gramStart"/>
      <w:r w:rsidR="005B7CED">
        <w:rPr>
          <w:lang w:val="en-US" w:eastAsia="ja-JP"/>
        </w:rPr>
        <w:t>In order to</w:t>
      </w:r>
      <w:proofErr w:type="gramEnd"/>
      <w:r w:rsidR="005B7CED">
        <w:rPr>
          <w:lang w:val="en-US" w:eastAsia="ja-JP"/>
        </w:rPr>
        <w:t xml:space="preserve"> implement this new synchronization mechanism, it was needed to account for the imperfections a</w:t>
      </w:r>
      <w:r w:rsidR="00434CA7">
        <w:rPr>
          <w:lang w:val="en-US" w:eastAsia="ja-JP"/>
        </w:rPr>
        <w:t xml:space="preserve">nd potential inaccuracy of the GNSS system or the ephemeris information, which caused the </w:t>
      </w:r>
      <w:r w:rsidR="00760073">
        <w:rPr>
          <w:lang w:val="en-US" w:eastAsia="ja-JP"/>
        </w:rPr>
        <w:t>transmit timing error requirement to be relaxed for NTN when compared to the TN counterpart.</w:t>
      </w:r>
    </w:p>
    <w:p w14:paraId="7B81CDB5" w14:textId="7F3DED9C" w:rsidR="002530CD" w:rsidRDefault="002530CD" w:rsidP="006018C0">
      <w:pPr>
        <w:rPr>
          <w:lang w:val="en-US" w:eastAsia="ja-JP"/>
        </w:rPr>
      </w:pPr>
      <w:r>
        <w:rPr>
          <w:lang w:val="en-US" w:eastAsia="ja-JP"/>
        </w:rPr>
        <w:t xml:space="preserve">The impact of this relaxation is perceived differently in FR1-NTN and FR2-NTN numerologies, and this happens because the cyclic prefix used for the different subcarrier spacings (SCS) is inversely proportional to the SCS. </w:t>
      </w:r>
      <w:r w:rsidR="00CC5CE4">
        <w:rPr>
          <w:lang w:val="en-US" w:eastAsia="ja-JP"/>
        </w:rPr>
        <w:t>As evidenced below:</w:t>
      </w:r>
    </w:p>
    <w:p w14:paraId="376A1EA9" w14:textId="0ED858F1" w:rsidR="00F305B3" w:rsidRDefault="00F305B3" w:rsidP="00051BAF">
      <w:pPr>
        <w:pStyle w:val="Caption"/>
        <w:keepNext/>
      </w:pPr>
      <w:bookmarkStart w:id="6" w:name="_Ref181639580"/>
      <w:r>
        <w:t xml:space="preserve">Table </w:t>
      </w:r>
      <w:r>
        <w:fldChar w:fldCharType="begin"/>
      </w:r>
      <w:r>
        <w:instrText xml:space="preserve"> SEQ Table \* ARABIC </w:instrText>
      </w:r>
      <w:r>
        <w:fldChar w:fldCharType="separate"/>
      </w:r>
      <w:r w:rsidR="00997647">
        <w:rPr>
          <w:noProof/>
        </w:rPr>
        <w:t>1</w:t>
      </w:r>
      <w:r>
        <w:fldChar w:fldCharType="end"/>
      </w:r>
      <w:bookmarkEnd w:id="6"/>
      <w:r>
        <w:t>. Comparison of UL Timing Requirements for FR1-NTN (</w:t>
      </w:r>
      <w:r w:rsidR="007B4056">
        <w:rPr>
          <w:rFonts w:hint="eastAsia"/>
          <w:lang w:eastAsia="ja-JP"/>
        </w:rPr>
        <w:t>30</w:t>
      </w:r>
      <w:r>
        <w:t xml:space="preserve"> kHz) and FR2-NTN (120 kHz)</w:t>
      </w:r>
    </w:p>
    <w:tbl>
      <w:tblPr>
        <w:tblStyle w:val="TableGrid"/>
        <w:tblW w:w="0" w:type="auto"/>
        <w:tblLook w:val="04A0" w:firstRow="1" w:lastRow="0" w:firstColumn="1" w:lastColumn="0" w:noHBand="0" w:noVBand="1"/>
      </w:tblPr>
      <w:tblGrid>
        <w:gridCol w:w="1394"/>
        <w:gridCol w:w="1295"/>
        <w:gridCol w:w="1260"/>
        <w:gridCol w:w="1212"/>
        <w:gridCol w:w="1014"/>
        <w:gridCol w:w="1014"/>
        <w:gridCol w:w="1214"/>
        <w:gridCol w:w="1214"/>
      </w:tblGrid>
      <w:tr w:rsidR="0015015C" w14:paraId="1882F7B0" w14:textId="5E9DB36B" w:rsidTr="00051BAF">
        <w:tc>
          <w:tcPr>
            <w:tcW w:w="1394" w:type="dxa"/>
          </w:tcPr>
          <w:p w14:paraId="722B207A" w14:textId="77777777" w:rsidR="0015015C" w:rsidRDefault="0015015C" w:rsidP="006018C0">
            <w:pPr>
              <w:rPr>
                <w:lang w:val="en-US" w:eastAsia="ja-JP"/>
              </w:rPr>
            </w:pPr>
          </w:p>
        </w:tc>
        <w:tc>
          <w:tcPr>
            <w:tcW w:w="1295" w:type="dxa"/>
          </w:tcPr>
          <w:p w14:paraId="7B89E346" w14:textId="644CC820" w:rsidR="0015015C" w:rsidRDefault="0015015C" w:rsidP="006018C0">
            <w:pPr>
              <w:rPr>
                <w:lang w:val="en-US" w:eastAsia="ja-JP"/>
              </w:rPr>
            </w:pPr>
            <w:r>
              <w:rPr>
                <w:lang w:val="en-US" w:eastAsia="ja-JP"/>
              </w:rPr>
              <w:t>DL SSB SCS (kHz)</w:t>
            </w:r>
          </w:p>
        </w:tc>
        <w:tc>
          <w:tcPr>
            <w:tcW w:w="1260" w:type="dxa"/>
          </w:tcPr>
          <w:p w14:paraId="73E0F77A" w14:textId="652CA392" w:rsidR="0015015C" w:rsidRDefault="0015015C" w:rsidP="006018C0">
            <w:pPr>
              <w:rPr>
                <w:lang w:val="en-US" w:eastAsia="ja-JP"/>
              </w:rPr>
            </w:pPr>
            <w:r>
              <w:rPr>
                <w:lang w:val="en-US" w:eastAsia="ja-JP"/>
              </w:rPr>
              <w:t>UL SCS (kHz)</w:t>
            </w:r>
          </w:p>
        </w:tc>
        <w:tc>
          <w:tcPr>
            <w:tcW w:w="1212" w:type="dxa"/>
          </w:tcPr>
          <w:p w14:paraId="62F8E6DC" w14:textId="5E040E5F" w:rsidR="0015015C" w:rsidRDefault="0015015C" w:rsidP="006018C0">
            <w:pPr>
              <w:rPr>
                <w:lang w:val="en-US" w:eastAsia="ja-JP"/>
              </w:rPr>
            </w:pPr>
            <w:proofErr w:type="spellStart"/>
            <w:r>
              <w:rPr>
                <w:lang w:val="en-US" w:eastAsia="ja-JP"/>
              </w:rPr>
              <w:t>T</w:t>
            </w:r>
            <w:r w:rsidRPr="00051BAF">
              <w:rPr>
                <w:vertAlign w:val="subscript"/>
                <w:lang w:val="en-US" w:eastAsia="ja-JP"/>
              </w:rPr>
              <w:t>e_NTN</w:t>
            </w:r>
            <w:proofErr w:type="spellEnd"/>
            <w:r>
              <w:rPr>
                <w:vertAlign w:val="subscript"/>
                <w:lang w:val="en-US" w:eastAsia="ja-JP"/>
              </w:rPr>
              <w:t xml:space="preserve"> </w:t>
            </w:r>
            <w:r w:rsidRPr="00051BAF">
              <w:rPr>
                <w:lang w:val="en-US" w:eastAsia="ja-JP"/>
              </w:rPr>
              <w:t>(Ts)</w:t>
            </w:r>
          </w:p>
        </w:tc>
        <w:tc>
          <w:tcPr>
            <w:tcW w:w="1014" w:type="dxa"/>
          </w:tcPr>
          <w:p w14:paraId="20495C70" w14:textId="69B1FD86" w:rsidR="0015015C" w:rsidRDefault="0015015C" w:rsidP="006018C0">
            <w:pPr>
              <w:rPr>
                <w:lang w:val="en-US" w:eastAsia="ja-JP"/>
              </w:rPr>
            </w:pPr>
            <w:r>
              <w:rPr>
                <w:lang w:val="en-US" w:eastAsia="ja-JP"/>
              </w:rPr>
              <w:t>CP length (Ts)</w:t>
            </w:r>
          </w:p>
        </w:tc>
        <w:tc>
          <w:tcPr>
            <w:tcW w:w="1014" w:type="dxa"/>
          </w:tcPr>
          <w:p w14:paraId="396BF820" w14:textId="538AA146" w:rsidR="0015015C" w:rsidRDefault="003A0B0D" w:rsidP="006018C0">
            <w:pPr>
              <w:rPr>
                <w:lang w:val="en-US" w:eastAsia="ja-JP"/>
              </w:rPr>
            </w:pPr>
            <w:proofErr w:type="spellStart"/>
            <w:r>
              <w:rPr>
                <w:lang w:val="en-US" w:eastAsia="ja-JP"/>
              </w:rPr>
              <w:t>T</w:t>
            </w:r>
            <w:r w:rsidRPr="006E63F6">
              <w:rPr>
                <w:vertAlign w:val="subscript"/>
                <w:lang w:val="en-US" w:eastAsia="ja-JP"/>
              </w:rPr>
              <w:t>e_NTN</w:t>
            </w:r>
            <w:proofErr w:type="spellEnd"/>
            <w:r>
              <w:rPr>
                <w:vertAlign w:val="subscript"/>
                <w:lang w:val="en-US" w:eastAsia="ja-JP"/>
              </w:rPr>
              <w:t xml:space="preserve"> / </w:t>
            </w:r>
            <w:r>
              <w:rPr>
                <w:lang w:val="en-US" w:eastAsia="ja-JP"/>
              </w:rPr>
              <w:t>CP length</w:t>
            </w:r>
          </w:p>
        </w:tc>
        <w:tc>
          <w:tcPr>
            <w:tcW w:w="1214" w:type="dxa"/>
          </w:tcPr>
          <w:p w14:paraId="01BD81B5" w14:textId="09FF4010" w:rsidR="0015015C" w:rsidRDefault="0015015C" w:rsidP="006018C0">
            <w:pPr>
              <w:rPr>
                <w:lang w:val="en-US" w:eastAsia="ja-JP"/>
              </w:rPr>
            </w:pPr>
            <w:proofErr w:type="spellStart"/>
            <w:r>
              <w:rPr>
                <w:lang w:val="en-US" w:eastAsia="ja-JP"/>
              </w:rPr>
              <w:t>T</w:t>
            </w:r>
            <w:r w:rsidRPr="00051BAF">
              <w:rPr>
                <w:vertAlign w:val="subscript"/>
                <w:lang w:val="en-US" w:eastAsia="ja-JP"/>
              </w:rPr>
              <w:t>p_NTN</w:t>
            </w:r>
            <w:proofErr w:type="spellEnd"/>
            <w:r>
              <w:rPr>
                <w:vertAlign w:val="subscript"/>
                <w:lang w:val="en-US" w:eastAsia="ja-JP"/>
              </w:rPr>
              <w:t xml:space="preserve"> </w:t>
            </w:r>
            <w:r w:rsidRPr="006E63F6">
              <w:rPr>
                <w:lang w:val="en-US" w:eastAsia="ja-JP"/>
              </w:rPr>
              <w:t>(Ts)</w:t>
            </w:r>
          </w:p>
        </w:tc>
        <w:tc>
          <w:tcPr>
            <w:tcW w:w="1214" w:type="dxa"/>
          </w:tcPr>
          <w:p w14:paraId="5E25B2ED" w14:textId="276B3EB3" w:rsidR="0015015C" w:rsidRDefault="0015015C" w:rsidP="006018C0">
            <w:pPr>
              <w:rPr>
                <w:lang w:val="en-US" w:eastAsia="ja-JP"/>
              </w:rPr>
            </w:pPr>
            <w:proofErr w:type="spellStart"/>
            <w:r>
              <w:rPr>
                <w:lang w:val="en-US" w:eastAsia="ja-JP"/>
              </w:rPr>
              <w:t>T</w:t>
            </w:r>
            <w:r w:rsidRPr="00051BAF">
              <w:rPr>
                <w:vertAlign w:val="subscript"/>
                <w:lang w:val="en-US" w:eastAsia="ja-JP"/>
              </w:rPr>
              <w:t>q_NTN</w:t>
            </w:r>
            <w:proofErr w:type="spellEnd"/>
            <w:r>
              <w:rPr>
                <w:vertAlign w:val="subscript"/>
                <w:lang w:val="en-US" w:eastAsia="ja-JP"/>
              </w:rPr>
              <w:t xml:space="preserve"> </w:t>
            </w:r>
            <w:r w:rsidRPr="006E63F6">
              <w:rPr>
                <w:lang w:val="en-US" w:eastAsia="ja-JP"/>
              </w:rPr>
              <w:t>(Ts)</w:t>
            </w:r>
          </w:p>
        </w:tc>
      </w:tr>
      <w:tr w:rsidR="0015015C" w14:paraId="097C7D14" w14:textId="1D66845A" w:rsidTr="00051BAF">
        <w:tc>
          <w:tcPr>
            <w:tcW w:w="1394" w:type="dxa"/>
          </w:tcPr>
          <w:p w14:paraId="7364D1DB" w14:textId="29664B5E" w:rsidR="0015015C" w:rsidRDefault="0015015C" w:rsidP="006018C0">
            <w:pPr>
              <w:rPr>
                <w:lang w:val="en-US" w:eastAsia="ja-JP"/>
              </w:rPr>
            </w:pPr>
            <w:r>
              <w:rPr>
                <w:lang w:val="en-US" w:eastAsia="ja-JP"/>
              </w:rPr>
              <w:t>FR1-NTN</w:t>
            </w:r>
          </w:p>
        </w:tc>
        <w:tc>
          <w:tcPr>
            <w:tcW w:w="1295" w:type="dxa"/>
          </w:tcPr>
          <w:p w14:paraId="7DD3C43A" w14:textId="0F4D6DB2" w:rsidR="0015015C" w:rsidRDefault="0015015C" w:rsidP="006018C0">
            <w:pPr>
              <w:rPr>
                <w:lang w:val="en-US" w:eastAsia="ja-JP"/>
              </w:rPr>
            </w:pPr>
            <w:r>
              <w:rPr>
                <w:lang w:val="en-US" w:eastAsia="ja-JP"/>
              </w:rPr>
              <w:t>30</w:t>
            </w:r>
          </w:p>
        </w:tc>
        <w:tc>
          <w:tcPr>
            <w:tcW w:w="1260" w:type="dxa"/>
          </w:tcPr>
          <w:p w14:paraId="401BE712" w14:textId="39D69546" w:rsidR="0015015C" w:rsidRDefault="0015015C" w:rsidP="006018C0">
            <w:pPr>
              <w:rPr>
                <w:lang w:val="en-US" w:eastAsia="ja-JP"/>
              </w:rPr>
            </w:pPr>
            <w:r>
              <w:rPr>
                <w:lang w:val="en-US" w:eastAsia="ja-JP"/>
              </w:rPr>
              <w:t>30</w:t>
            </w:r>
          </w:p>
        </w:tc>
        <w:tc>
          <w:tcPr>
            <w:tcW w:w="1212" w:type="dxa"/>
          </w:tcPr>
          <w:p w14:paraId="00F03196" w14:textId="1CD8CEB9" w:rsidR="0015015C" w:rsidRDefault="0015015C" w:rsidP="006018C0">
            <w:pPr>
              <w:rPr>
                <w:lang w:val="en-US" w:eastAsia="ja-JP"/>
              </w:rPr>
            </w:pPr>
            <w:r>
              <w:rPr>
                <w:lang w:val="en-US" w:eastAsia="ja-JP"/>
              </w:rPr>
              <w:t>2</w:t>
            </w:r>
            <w:r w:rsidR="00D14C32">
              <w:rPr>
                <w:rFonts w:hint="eastAsia"/>
                <w:lang w:val="en-US" w:eastAsia="ja-JP"/>
              </w:rPr>
              <w:t>2</w:t>
            </w:r>
          </w:p>
        </w:tc>
        <w:tc>
          <w:tcPr>
            <w:tcW w:w="1014" w:type="dxa"/>
          </w:tcPr>
          <w:p w14:paraId="79EEB052" w14:textId="22FC0F1A" w:rsidR="0015015C" w:rsidRDefault="003E5A8C" w:rsidP="006018C0">
            <w:pPr>
              <w:rPr>
                <w:lang w:val="en-US" w:eastAsia="ja-JP"/>
              </w:rPr>
            </w:pPr>
            <w:r>
              <w:rPr>
                <w:lang w:val="en-US" w:eastAsia="ja-JP"/>
              </w:rPr>
              <w:t>72</w:t>
            </w:r>
          </w:p>
        </w:tc>
        <w:tc>
          <w:tcPr>
            <w:tcW w:w="1014" w:type="dxa"/>
          </w:tcPr>
          <w:p w14:paraId="54EF3ABD" w14:textId="6494FE0F" w:rsidR="0015015C" w:rsidRPr="00051BAF" w:rsidRDefault="00B65DA5" w:rsidP="006018C0">
            <w:pPr>
              <w:rPr>
                <w:color w:val="00B050"/>
                <w:lang w:val="en-US" w:eastAsia="ja-JP"/>
              </w:rPr>
            </w:pPr>
            <w:r w:rsidRPr="00051BAF">
              <w:rPr>
                <w:color w:val="00B050"/>
                <w:lang w:val="en-US" w:eastAsia="ja-JP"/>
              </w:rPr>
              <w:t>3</w:t>
            </w:r>
            <w:r w:rsidR="00275B1E">
              <w:rPr>
                <w:rFonts w:hint="eastAsia"/>
                <w:color w:val="00B050"/>
                <w:lang w:val="en-US" w:eastAsia="ja-JP"/>
              </w:rPr>
              <w:t>0</w:t>
            </w:r>
            <w:r>
              <w:rPr>
                <w:color w:val="00B050"/>
                <w:lang w:val="en-US" w:eastAsia="ja-JP"/>
              </w:rPr>
              <w:t>.</w:t>
            </w:r>
            <w:r w:rsidR="00275B1E">
              <w:rPr>
                <w:rFonts w:hint="eastAsia"/>
                <w:color w:val="00B050"/>
                <w:lang w:val="en-US" w:eastAsia="ja-JP"/>
              </w:rPr>
              <w:t>6</w:t>
            </w:r>
            <w:r w:rsidRPr="00051BAF">
              <w:rPr>
                <w:color w:val="00B050"/>
                <w:lang w:val="en-US" w:eastAsia="ja-JP"/>
              </w:rPr>
              <w:t>%</w:t>
            </w:r>
          </w:p>
        </w:tc>
        <w:tc>
          <w:tcPr>
            <w:tcW w:w="1214" w:type="dxa"/>
          </w:tcPr>
          <w:p w14:paraId="19AB0682" w14:textId="53C64FC2" w:rsidR="0015015C" w:rsidRDefault="0015015C" w:rsidP="006018C0">
            <w:pPr>
              <w:rPr>
                <w:lang w:val="en-US" w:eastAsia="ja-JP"/>
              </w:rPr>
            </w:pPr>
            <w:r>
              <w:rPr>
                <w:lang w:val="en-US" w:eastAsia="ja-JP"/>
              </w:rPr>
              <w:t>5.5</w:t>
            </w:r>
          </w:p>
        </w:tc>
        <w:tc>
          <w:tcPr>
            <w:tcW w:w="1214" w:type="dxa"/>
          </w:tcPr>
          <w:p w14:paraId="512579DA" w14:textId="04713A9C" w:rsidR="0015015C" w:rsidRDefault="0015015C" w:rsidP="006018C0">
            <w:pPr>
              <w:rPr>
                <w:lang w:val="en-US" w:eastAsia="ja-JP"/>
              </w:rPr>
            </w:pPr>
            <w:r>
              <w:rPr>
                <w:lang w:val="en-US" w:eastAsia="ja-JP"/>
              </w:rPr>
              <w:t>5.5</w:t>
            </w:r>
          </w:p>
        </w:tc>
      </w:tr>
      <w:tr w:rsidR="0015015C" w14:paraId="1F59BBEF" w14:textId="16E07826" w:rsidTr="00051BAF">
        <w:tc>
          <w:tcPr>
            <w:tcW w:w="1394" w:type="dxa"/>
          </w:tcPr>
          <w:p w14:paraId="07D70C16" w14:textId="2AC94B26" w:rsidR="0015015C" w:rsidRDefault="0015015C" w:rsidP="006018C0">
            <w:pPr>
              <w:rPr>
                <w:lang w:val="en-US" w:eastAsia="ja-JP"/>
              </w:rPr>
            </w:pPr>
            <w:r>
              <w:rPr>
                <w:lang w:val="en-US" w:eastAsia="ja-JP"/>
              </w:rPr>
              <w:t xml:space="preserve">FR2-NTN (fixed </w:t>
            </w:r>
            <w:proofErr w:type="spellStart"/>
            <w:r>
              <w:rPr>
                <w:lang w:val="en-US" w:eastAsia="ja-JP"/>
              </w:rPr>
              <w:t>VSat</w:t>
            </w:r>
            <w:proofErr w:type="spellEnd"/>
            <w:r>
              <w:rPr>
                <w:lang w:val="en-US" w:eastAsia="ja-JP"/>
              </w:rPr>
              <w:t>)</w:t>
            </w:r>
          </w:p>
        </w:tc>
        <w:tc>
          <w:tcPr>
            <w:tcW w:w="1295" w:type="dxa"/>
          </w:tcPr>
          <w:p w14:paraId="5FF754B9" w14:textId="201E6DAB" w:rsidR="0015015C" w:rsidRDefault="0015015C" w:rsidP="006018C0">
            <w:pPr>
              <w:rPr>
                <w:lang w:val="en-US" w:eastAsia="ja-JP"/>
              </w:rPr>
            </w:pPr>
            <w:r>
              <w:rPr>
                <w:lang w:val="en-US" w:eastAsia="ja-JP"/>
              </w:rPr>
              <w:t>240</w:t>
            </w:r>
          </w:p>
        </w:tc>
        <w:tc>
          <w:tcPr>
            <w:tcW w:w="1260" w:type="dxa"/>
          </w:tcPr>
          <w:p w14:paraId="2E7A27E8" w14:textId="2EFF0DD7" w:rsidR="0015015C" w:rsidRDefault="0015015C" w:rsidP="006018C0">
            <w:pPr>
              <w:rPr>
                <w:lang w:val="en-US" w:eastAsia="ja-JP"/>
              </w:rPr>
            </w:pPr>
            <w:r>
              <w:rPr>
                <w:lang w:val="en-US" w:eastAsia="ja-JP"/>
              </w:rPr>
              <w:t>120</w:t>
            </w:r>
          </w:p>
        </w:tc>
        <w:tc>
          <w:tcPr>
            <w:tcW w:w="1212" w:type="dxa"/>
          </w:tcPr>
          <w:p w14:paraId="3C6DF843" w14:textId="594F85B7" w:rsidR="0015015C" w:rsidRDefault="0015015C" w:rsidP="006018C0">
            <w:pPr>
              <w:rPr>
                <w:lang w:val="en-US" w:eastAsia="ja-JP"/>
              </w:rPr>
            </w:pPr>
            <w:r>
              <w:rPr>
                <w:lang w:val="en-US" w:eastAsia="ja-JP"/>
              </w:rPr>
              <w:t>7.5</w:t>
            </w:r>
          </w:p>
        </w:tc>
        <w:tc>
          <w:tcPr>
            <w:tcW w:w="1014" w:type="dxa"/>
          </w:tcPr>
          <w:p w14:paraId="0C4C92F6" w14:textId="17160067" w:rsidR="0015015C" w:rsidRDefault="00B65DA5" w:rsidP="006018C0">
            <w:pPr>
              <w:rPr>
                <w:lang w:val="en-US" w:eastAsia="ja-JP"/>
              </w:rPr>
            </w:pPr>
            <w:r>
              <w:rPr>
                <w:lang w:val="en-US" w:eastAsia="ja-JP"/>
              </w:rPr>
              <w:t>18</w:t>
            </w:r>
          </w:p>
        </w:tc>
        <w:tc>
          <w:tcPr>
            <w:tcW w:w="1014" w:type="dxa"/>
          </w:tcPr>
          <w:p w14:paraId="70AEA195" w14:textId="664A3387" w:rsidR="0015015C" w:rsidRDefault="00C96593" w:rsidP="006018C0">
            <w:pPr>
              <w:rPr>
                <w:lang w:val="en-US" w:eastAsia="ja-JP"/>
              </w:rPr>
            </w:pPr>
            <w:r w:rsidRPr="00051BAF">
              <w:rPr>
                <w:color w:val="00B050"/>
                <w:lang w:val="en-US" w:eastAsia="ja-JP"/>
              </w:rPr>
              <w:t>41.6%</w:t>
            </w:r>
          </w:p>
        </w:tc>
        <w:tc>
          <w:tcPr>
            <w:tcW w:w="1214" w:type="dxa"/>
          </w:tcPr>
          <w:p w14:paraId="61D9ED7E" w14:textId="27C3597B" w:rsidR="0015015C" w:rsidRDefault="0015015C" w:rsidP="006018C0">
            <w:pPr>
              <w:rPr>
                <w:lang w:val="en-US" w:eastAsia="ja-JP"/>
              </w:rPr>
            </w:pPr>
            <w:r>
              <w:rPr>
                <w:lang w:val="en-US" w:eastAsia="ja-JP"/>
              </w:rPr>
              <w:t>2.5</w:t>
            </w:r>
          </w:p>
        </w:tc>
        <w:tc>
          <w:tcPr>
            <w:tcW w:w="1214" w:type="dxa"/>
          </w:tcPr>
          <w:p w14:paraId="0078DBBC" w14:textId="7D15057C" w:rsidR="0015015C" w:rsidRDefault="0015015C" w:rsidP="006018C0">
            <w:pPr>
              <w:rPr>
                <w:lang w:val="en-US" w:eastAsia="ja-JP"/>
              </w:rPr>
            </w:pPr>
            <w:r>
              <w:rPr>
                <w:lang w:val="en-US" w:eastAsia="ja-JP"/>
              </w:rPr>
              <w:t>2.5</w:t>
            </w:r>
          </w:p>
        </w:tc>
      </w:tr>
      <w:tr w:rsidR="0015015C" w14:paraId="6558E910" w14:textId="115CD966" w:rsidTr="00051BAF">
        <w:tc>
          <w:tcPr>
            <w:tcW w:w="1394" w:type="dxa"/>
          </w:tcPr>
          <w:p w14:paraId="508B92B2" w14:textId="561B29A9" w:rsidR="0015015C" w:rsidRDefault="0015015C" w:rsidP="006018C0">
            <w:pPr>
              <w:rPr>
                <w:lang w:val="en-US" w:eastAsia="ja-JP"/>
              </w:rPr>
            </w:pPr>
            <w:r>
              <w:rPr>
                <w:lang w:val="en-US" w:eastAsia="ja-JP"/>
              </w:rPr>
              <w:lastRenderedPageBreak/>
              <w:t>FR2-NTN (mobile VSAT)</w:t>
            </w:r>
          </w:p>
        </w:tc>
        <w:tc>
          <w:tcPr>
            <w:tcW w:w="1295" w:type="dxa"/>
          </w:tcPr>
          <w:p w14:paraId="15878C76" w14:textId="3792DFC3" w:rsidR="0015015C" w:rsidRDefault="0015015C" w:rsidP="006018C0">
            <w:pPr>
              <w:rPr>
                <w:lang w:val="en-US" w:eastAsia="ja-JP"/>
              </w:rPr>
            </w:pPr>
            <w:r>
              <w:rPr>
                <w:lang w:val="en-US" w:eastAsia="ja-JP"/>
              </w:rPr>
              <w:t>240</w:t>
            </w:r>
          </w:p>
        </w:tc>
        <w:tc>
          <w:tcPr>
            <w:tcW w:w="1260" w:type="dxa"/>
          </w:tcPr>
          <w:p w14:paraId="0C243D86" w14:textId="7F3BDCB1" w:rsidR="0015015C" w:rsidRDefault="0015015C" w:rsidP="006018C0">
            <w:pPr>
              <w:rPr>
                <w:lang w:val="en-US" w:eastAsia="ja-JP"/>
              </w:rPr>
            </w:pPr>
            <w:r>
              <w:rPr>
                <w:lang w:val="en-US" w:eastAsia="ja-JP"/>
              </w:rPr>
              <w:t>120</w:t>
            </w:r>
          </w:p>
        </w:tc>
        <w:tc>
          <w:tcPr>
            <w:tcW w:w="1212" w:type="dxa"/>
          </w:tcPr>
          <w:p w14:paraId="320CC624" w14:textId="2B214DFA" w:rsidR="0015015C" w:rsidRDefault="0015015C" w:rsidP="006018C0">
            <w:pPr>
              <w:rPr>
                <w:lang w:val="en-US" w:eastAsia="ja-JP"/>
              </w:rPr>
            </w:pPr>
            <w:r>
              <w:rPr>
                <w:lang w:val="en-US" w:eastAsia="ja-JP"/>
              </w:rPr>
              <w:t>[10]</w:t>
            </w:r>
          </w:p>
        </w:tc>
        <w:tc>
          <w:tcPr>
            <w:tcW w:w="1014" w:type="dxa"/>
          </w:tcPr>
          <w:p w14:paraId="3ABC381F" w14:textId="2E2128C8" w:rsidR="0015015C" w:rsidRDefault="00B65DA5" w:rsidP="006018C0">
            <w:pPr>
              <w:rPr>
                <w:lang w:val="en-US" w:eastAsia="ja-JP"/>
              </w:rPr>
            </w:pPr>
            <w:r>
              <w:rPr>
                <w:lang w:val="en-US" w:eastAsia="ja-JP"/>
              </w:rPr>
              <w:t>18</w:t>
            </w:r>
          </w:p>
        </w:tc>
        <w:tc>
          <w:tcPr>
            <w:tcW w:w="1014" w:type="dxa"/>
          </w:tcPr>
          <w:p w14:paraId="61C1DE71" w14:textId="3FDC29D6" w:rsidR="0015015C" w:rsidRDefault="00C96593" w:rsidP="006018C0">
            <w:pPr>
              <w:rPr>
                <w:lang w:val="en-US" w:eastAsia="ja-JP"/>
              </w:rPr>
            </w:pPr>
            <w:r w:rsidRPr="00051BAF">
              <w:rPr>
                <w:color w:val="FF0000"/>
                <w:lang w:val="en-US" w:eastAsia="ja-JP"/>
              </w:rPr>
              <w:t>55.5%</w:t>
            </w:r>
          </w:p>
        </w:tc>
        <w:tc>
          <w:tcPr>
            <w:tcW w:w="1214" w:type="dxa"/>
          </w:tcPr>
          <w:p w14:paraId="2F1A33BD" w14:textId="5B6B3424" w:rsidR="0015015C" w:rsidRDefault="0015015C" w:rsidP="006018C0">
            <w:pPr>
              <w:rPr>
                <w:lang w:val="en-US" w:eastAsia="ja-JP"/>
              </w:rPr>
            </w:pPr>
            <w:r>
              <w:rPr>
                <w:lang w:val="en-US" w:eastAsia="ja-JP"/>
              </w:rPr>
              <w:t>2.5</w:t>
            </w:r>
          </w:p>
        </w:tc>
        <w:tc>
          <w:tcPr>
            <w:tcW w:w="1214" w:type="dxa"/>
          </w:tcPr>
          <w:p w14:paraId="1B3F9947" w14:textId="13896A94" w:rsidR="0015015C" w:rsidRDefault="0015015C" w:rsidP="006018C0">
            <w:pPr>
              <w:rPr>
                <w:lang w:val="en-US" w:eastAsia="ja-JP"/>
              </w:rPr>
            </w:pPr>
            <w:r>
              <w:rPr>
                <w:lang w:val="en-US" w:eastAsia="ja-JP"/>
              </w:rPr>
              <w:t>2.5</w:t>
            </w:r>
          </w:p>
        </w:tc>
      </w:tr>
    </w:tbl>
    <w:p w14:paraId="06A198C7" w14:textId="77777777" w:rsidR="00CC5CE4" w:rsidRDefault="00CC5CE4" w:rsidP="006018C0">
      <w:pPr>
        <w:rPr>
          <w:lang w:val="en-US" w:eastAsia="ja-JP"/>
        </w:rPr>
      </w:pPr>
    </w:p>
    <w:p w14:paraId="05BE4DC6" w14:textId="26BEB8AC" w:rsidR="0022790E" w:rsidRDefault="003333E6" w:rsidP="002D2472">
      <w:pPr>
        <w:rPr>
          <w:lang w:val="en-US" w:eastAsia="ja-JP"/>
        </w:rPr>
      </w:pPr>
      <w:r>
        <w:rPr>
          <w:lang w:val="en-US" w:eastAsia="ja-JP"/>
        </w:rPr>
        <w:t xml:space="preserve">In </w:t>
      </w:r>
      <w:r>
        <w:rPr>
          <w:lang w:val="en-US" w:eastAsia="ja-JP"/>
        </w:rPr>
        <w:fldChar w:fldCharType="begin"/>
      </w:r>
      <w:r>
        <w:rPr>
          <w:lang w:val="en-US" w:eastAsia="ja-JP"/>
        </w:rPr>
        <w:instrText xml:space="preserve"> REF _Ref181639580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 it is possible to observe that the transmit timing accuracy in NTN (</w:t>
      </w:r>
      <w:proofErr w:type="spellStart"/>
      <w:r>
        <w:rPr>
          <w:lang w:val="en-US" w:eastAsia="ja-JP"/>
        </w:rPr>
        <w:t>T</w:t>
      </w:r>
      <w:r w:rsidRPr="006E63F6">
        <w:rPr>
          <w:vertAlign w:val="subscript"/>
          <w:lang w:val="en-US" w:eastAsia="ja-JP"/>
        </w:rPr>
        <w:t>e_NTN</w:t>
      </w:r>
      <w:proofErr w:type="spellEnd"/>
      <w:r>
        <w:rPr>
          <w:lang w:val="en-US" w:eastAsia="ja-JP"/>
        </w:rPr>
        <w:t>) is larger than half of CP when a mobile VSAT (which is in the scope of this WI) is considered</w:t>
      </w:r>
      <w:r w:rsidR="005F2D7E">
        <w:rPr>
          <w:lang w:val="en-US" w:eastAsia="ja-JP"/>
        </w:rPr>
        <w:t xml:space="preserve"> under c</w:t>
      </w:r>
      <w:r w:rsidR="00423FDE">
        <w:rPr>
          <w:lang w:val="en-US" w:eastAsia="ja-JP"/>
        </w:rPr>
        <w:t xml:space="preserve">urrent provisory requirements (between square brackets). </w:t>
      </w:r>
      <w:r w:rsidR="003571ED">
        <w:rPr>
          <w:lang w:val="en-US" w:eastAsia="ja-JP"/>
        </w:rPr>
        <w:t xml:space="preserve">This is highly problematic, because </w:t>
      </w:r>
      <w:proofErr w:type="spellStart"/>
      <w:r w:rsidR="00FE5597">
        <w:rPr>
          <w:lang w:val="en-US" w:eastAsia="ja-JP"/>
        </w:rPr>
        <w:t>T</w:t>
      </w:r>
      <w:r w:rsidR="00FE5597" w:rsidRPr="006E63F6">
        <w:rPr>
          <w:vertAlign w:val="subscript"/>
          <w:lang w:val="en-US" w:eastAsia="ja-JP"/>
        </w:rPr>
        <w:t>e_NTN</w:t>
      </w:r>
      <w:proofErr w:type="spellEnd"/>
      <w:r w:rsidR="003571ED">
        <w:rPr>
          <w:lang w:val="en-US" w:eastAsia="ja-JP"/>
        </w:rPr>
        <w:t xml:space="preserve"> is the </w:t>
      </w:r>
      <w:r w:rsidR="00FE5597">
        <w:rPr>
          <w:lang w:val="en-US" w:eastAsia="ja-JP"/>
        </w:rPr>
        <w:t xml:space="preserve">maximum absolute error regardless of the direction of the inaccuracy, i.e., the UE transmission might be </w:t>
      </w:r>
      <w:r w:rsidR="0022790E">
        <w:rPr>
          <w:lang w:val="en-US" w:eastAsia="ja-JP"/>
        </w:rPr>
        <w:t>off the ideal transmission timing by any value in the interval [-</w:t>
      </w:r>
      <w:proofErr w:type="spellStart"/>
      <w:r w:rsidR="0022790E">
        <w:rPr>
          <w:lang w:val="en-US" w:eastAsia="ja-JP"/>
        </w:rPr>
        <w:t>T</w:t>
      </w:r>
      <w:r w:rsidR="0022790E" w:rsidRPr="006E63F6">
        <w:rPr>
          <w:vertAlign w:val="subscript"/>
          <w:lang w:val="en-US" w:eastAsia="ja-JP"/>
        </w:rPr>
        <w:t>e_NTN</w:t>
      </w:r>
      <w:proofErr w:type="spellEnd"/>
      <w:r w:rsidR="0022790E">
        <w:rPr>
          <w:vertAlign w:val="subscript"/>
          <w:lang w:val="en-US" w:eastAsia="ja-JP"/>
        </w:rPr>
        <w:t xml:space="preserve">, + </w:t>
      </w:r>
      <w:proofErr w:type="spellStart"/>
      <w:r w:rsidR="0022790E">
        <w:rPr>
          <w:lang w:val="en-US" w:eastAsia="ja-JP"/>
        </w:rPr>
        <w:t>T</w:t>
      </w:r>
      <w:r w:rsidR="0022790E" w:rsidRPr="006E63F6">
        <w:rPr>
          <w:vertAlign w:val="subscript"/>
          <w:lang w:val="en-US" w:eastAsia="ja-JP"/>
        </w:rPr>
        <w:t>e_NTN</w:t>
      </w:r>
      <w:proofErr w:type="spellEnd"/>
      <w:r w:rsidR="0022790E">
        <w:rPr>
          <w:vertAlign w:val="subscript"/>
          <w:lang w:val="en-US" w:eastAsia="ja-JP"/>
        </w:rPr>
        <w:t xml:space="preserve">]. </w:t>
      </w:r>
      <w:r w:rsidR="0022790E">
        <w:rPr>
          <w:lang w:val="en-US" w:eastAsia="ja-JP"/>
        </w:rPr>
        <w:t xml:space="preserve">In other words, it is not possible for the network to accommodate the receiving window and guarantee that the UE transmission will arrive within the CP: ISI cannot be fully avoided. </w:t>
      </w:r>
      <w:r w:rsidR="00614896">
        <w:rPr>
          <w:lang w:val="en-US" w:eastAsia="ja-JP"/>
        </w:rPr>
        <w:t xml:space="preserve"> </w:t>
      </w:r>
      <w:r w:rsidR="008809EA">
        <w:rPr>
          <w:lang w:val="en-US" w:eastAsia="ja-JP"/>
        </w:rPr>
        <w:t xml:space="preserve">The current requirements adopted for 120 kHz SCS poses a risk on the feasibility of such SCS. </w:t>
      </w:r>
    </w:p>
    <w:p w14:paraId="745C57AF" w14:textId="36C2C045" w:rsidR="00614896" w:rsidRDefault="00614896" w:rsidP="002D2472">
      <w:pPr>
        <w:rPr>
          <w:lang w:val="en-US" w:eastAsia="ja-JP"/>
        </w:rPr>
      </w:pPr>
      <w:r>
        <w:rPr>
          <w:lang w:val="en-US" w:eastAsia="ja-JP"/>
        </w:rPr>
        <w:t>On the other hand, the Table also shows that FR1-NTN is more robust to UL Timing Synchronization inaccuracy than FR2-NTN</w:t>
      </w:r>
      <w:r w:rsidR="008809EA">
        <w:rPr>
          <w:lang w:val="en-US" w:eastAsia="ja-JP"/>
        </w:rPr>
        <w:t xml:space="preserve">. </w:t>
      </w:r>
    </w:p>
    <w:p w14:paraId="2BBADC45" w14:textId="77777777" w:rsidR="00FF2883" w:rsidRPr="00051BAF" w:rsidRDefault="008809EA" w:rsidP="00FF2883">
      <w:pPr>
        <w:pStyle w:val="RAN4observation0"/>
        <w:rPr>
          <w:b/>
          <w:bCs/>
          <w:lang w:val="en-US" w:eastAsia="ja-JP"/>
        </w:rPr>
      </w:pPr>
      <w:bookmarkStart w:id="7" w:name="_Toc181926916"/>
      <w:r w:rsidRPr="00051BAF">
        <w:rPr>
          <w:b/>
          <w:bCs/>
          <w:lang w:val="en-US" w:eastAsia="ja-JP"/>
        </w:rPr>
        <w:t xml:space="preserve">For UL timing Synchronization, FR1-NTN is more robust </w:t>
      </w:r>
      <w:r w:rsidR="00FF2883" w:rsidRPr="00051BAF">
        <w:rPr>
          <w:b/>
          <w:bCs/>
          <w:lang w:val="en-US" w:eastAsia="ja-JP"/>
        </w:rPr>
        <w:t>to UE transmit timing inaccuracies, whereas ISI cannot be fully avoided in UL for FR2-NTN using 120 kHz SCS.</w:t>
      </w:r>
      <w:bookmarkEnd w:id="7"/>
      <w:r w:rsidR="00FF2883" w:rsidRPr="00051BAF">
        <w:rPr>
          <w:b/>
          <w:bCs/>
          <w:lang w:val="en-US" w:eastAsia="ja-JP"/>
        </w:rPr>
        <w:t xml:space="preserve"> </w:t>
      </w:r>
    </w:p>
    <w:p w14:paraId="1F3258BF" w14:textId="77777777" w:rsidR="00FF2883" w:rsidRDefault="00FF2883" w:rsidP="00FF2883">
      <w:pPr>
        <w:pStyle w:val="RAN4observation0"/>
        <w:numPr>
          <w:ilvl w:val="0"/>
          <w:numId w:val="0"/>
        </w:numPr>
        <w:rPr>
          <w:lang w:val="en-US" w:eastAsia="ja-JP"/>
        </w:rPr>
      </w:pPr>
    </w:p>
    <w:p w14:paraId="690AC47C" w14:textId="78C5D052" w:rsidR="00F63553" w:rsidRPr="00F63553" w:rsidRDefault="00C17787" w:rsidP="00051BAF">
      <w:pPr>
        <w:rPr>
          <w:lang w:val="en-US" w:eastAsia="ja-JP"/>
        </w:rPr>
      </w:pPr>
      <w:r>
        <w:rPr>
          <w:lang w:val="en-US" w:eastAsia="ja-JP"/>
        </w:rPr>
        <w:t xml:space="preserve">Moreover, an additional problem refers to </w:t>
      </w:r>
      <w:r w:rsidR="002F5567">
        <w:rPr>
          <w:lang w:val="en-US" w:eastAsia="ja-JP"/>
        </w:rPr>
        <w:t>the autonomous adjustment rate that can be performed by NTN UEs</w:t>
      </w:r>
      <w:r w:rsidR="00F17897">
        <w:rPr>
          <w:lang w:val="en-US" w:eastAsia="ja-JP"/>
        </w:rPr>
        <w:t>. The</w:t>
      </w:r>
      <w:r w:rsidR="00300E2B">
        <w:rPr>
          <w:lang w:val="en-US" w:eastAsia="ja-JP"/>
        </w:rPr>
        <w:t xml:space="preserve"> value of </w:t>
      </w:r>
      <w:proofErr w:type="spellStart"/>
      <w:r w:rsidR="00300E2B">
        <w:rPr>
          <w:lang w:val="en-US" w:eastAsia="ja-JP"/>
        </w:rPr>
        <w:t>T</w:t>
      </w:r>
      <w:r w:rsidR="00300E2B" w:rsidRPr="006E63F6">
        <w:rPr>
          <w:vertAlign w:val="subscript"/>
          <w:lang w:val="en-US" w:eastAsia="ja-JP"/>
        </w:rPr>
        <w:t>q_NTN</w:t>
      </w:r>
      <w:proofErr w:type="spellEnd"/>
      <w:r w:rsidR="00300E2B">
        <w:rPr>
          <w:vertAlign w:val="subscript"/>
          <w:lang w:val="en-US" w:eastAsia="ja-JP"/>
        </w:rPr>
        <w:t xml:space="preserve"> </w:t>
      </w:r>
      <w:r w:rsidR="00300E2B">
        <w:rPr>
          <w:lang w:val="en-US" w:eastAsia="ja-JP"/>
        </w:rPr>
        <w:t>imposes an upper bound</w:t>
      </w:r>
      <w:r w:rsidR="00F17897">
        <w:rPr>
          <w:lang w:val="en-US" w:eastAsia="ja-JP"/>
        </w:rPr>
        <w:t xml:space="preserve"> </w:t>
      </w:r>
      <w:r w:rsidR="00300E2B">
        <w:rPr>
          <w:lang w:val="en-US" w:eastAsia="ja-JP"/>
        </w:rPr>
        <w:t>on how much t</w:t>
      </w:r>
      <w:r w:rsidR="004B798B">
        <w:rPr>
          <w:lang w:val="en-US" w:eastAsia="ja-JP"/>
        </w:rPr>
        <w:t xml:space="preserve">he UE is allowed to adjust its timing advance autonomously within 200 </w:t>
      </w:r>
      <w:proofErr w:type="spellStart"/>
      <w:r w:rsidR="004B798B">
        <w:rPr>
          <w:lang w:val="en-US" w:eastAsia="ja-JP"/>
        </w:rPr>
        <w:t>ms.</w:t>
      </w:r>
      <w:proofErr w:type="spellEnd"/>
      <w:r w:rsidR="004B798B">
        <w:rPr>
          <w:lang w:val="en-US" w:eastAsia="ja-JP"/>
        </w:rPr>
        <w:t xml:space="preserve"> </w:t>
      </w:r>
      <w:r w:rsidR="00CC01CB">
        <w:rPr>
          <w:lang w:val="en-US" w:eastAsia="ja-JP"/>
        </w:rPr>
        <w:t xml:space="preserve">For FR1-NTN, the value of 5.5 Ts allows for a total aggregate adjustment rate corresponding to a </w:t>
      </w:r>
      <w:r w:rsidR="009E7FA8">
        <w:rPr>
          <w:lang w:val="en-US" w:eastAsia="ja-JP"/>
        </w:rPr>
        <w:t xml:space="preserve">UE relative speed of 966 km/h, which is enough to cover for most airplane cases. However, </w:t>
      </w:r>
      <w:r w:rsidR="009E3953">
        <w:rPr>
          <w:lang w:val="en-US" w:eastAsia="ja-JP"/>
        </w:rPr>
        <w:t xml:space="preserve">the value of 2.5 Ts chosen for FR2-NTN would allow a maximum aggregate adjustment rate corresponding to a speed of 439 km/h, which is not enough to provide autonomous adjustment in </w:t>
      </w:r>
      <w:r w:rsidR="00B77399">
        <w:rPr>
          <w:lang w:val="en-US" w:eastAsia="ja-JP"/>
        </w:rPr>
        <w:t>flight conditions.</w:t>
      </w:r>
    </w:p>
    <w:p w14:paraId="1B926951" w14:textId="02059EB5" w:rsidR="00B77399" w:rsidRPr="00051BAF" w:rsidRDefault="00B77399" w:rsidP="00B77399">
      <w:pPr>
        <w:pStyle w:val="RAN4observation0"/>
        <w:rPr>
          <w:b/>
          <w:bCs/>
          <w:lang w:val="en-US" w:eastAsia="ja-JP"/>
        </w:rPr>
      </w:pPr>
      <w:bookmarkStart w:id="8" w:name="_Toc181926917"/>
      <w:r w:rsidRPr="00051BAF">
        <w:rPr>
          <w:b/>
          <w:bCs/>
          <w:lang w:val="en-US" w:eastAsia="ja-JP"/>
        </w:rPr>
        <w:t xml:space="preserve">The maximum aggregate rate of pre-compensation enabled in FR2-NTN does not </w:t>
      </w:r>
      <w:r w:rsidR="0020657A" w:rsidRPr="00051BAF">
        <w:rPr>
          <w:b/>
          <w:bCs/>
          <w:lang w:val="en-US" w:eastAsia="ja-JP"/>
        </w:rPr>
        <w:t xml:space="preserve">enable </w:t>
      </w:r>
      <w:r w:rsidR="00F63553" w:rsidRPr="00051BAF">
        <w:rPr>
          <w:b/>
          <w:bCs/>
          <w:lang w:val="en-US" w:eastAsia="ja-JP"/>
        </w:rPr>
        <w:t>inflight connectivity, one of the exemplary use cases in this WID.</w:t>
      </w:r>
      <w:bookmarkEnd w:id="8"/>
      <w:r w:rsidR="00F63553" w:rsidRPr="00051BAF">
        <w:rPr>
          <w:b/>
          <w:bCs/>
          <w:lang w:val="en-US" w:eastAsia="ja-JP"/>
        </w:rPr>
        <w:t xml:space="preserve"> </w:t>
      </w:r>
    </w:p>
    <w:p w14:paraId="67DDB822" w14:textId="0A57E152" w:rsidR="00F63553" w:rsidRDefault="00F63553" w:rsidP="00F63553">
      <w:pPr>
        <w:rPr>
          <w:lang w:val="en-US" w:eastAsia="ja-JP"/>
        </w:rPr>
      </w:pPr>
      <w:r>
        <w:rPr>
          <w:lang w:val="en-US" w:eastAsia="ja-JP"/>
        </w:rPr>
        <w:t>Based on the analysis above, we have the following proposal:</w:t>
      </w:r>
    </w:p>
    <w:p w14:paraId="1EC80248" w14:textId="07BAA47A" w:rsidR="00F63553" w:rsidRDefault="00863682" w:rsidP="00F63553">
      <w:pPr>
        <w:pStyle w:val="RAN4proposal"/>
        <w:rPr>
          <w:lang w:val="en-US" w:eastAsia="ja-JP"/>
        </w:rPr>
      </w:pPr>
      <w:bookmarkStart w:id="9" w:name="_Toc181926918"/>
      <w:r>
        <w:rPr>
          <w:lang w:val="en-US" w:eastAsia="ja-JP"/>
        </w:rPr>
        <w:t>For the decision criteria related to UL timing synchronization, capture that FR1-NTN is more suitable whereas FR2-NTN cannot avoid ISI.</w:t>
      </w:r>
      <w:bookmarkEnd w:id="9"/>
      <w:r>
        <w:rPr>
          <w:lang w:val="en-US" w:eastAsia="ja-JP"/>
        </w:rPr>
        <w:t xml:space="preserve"> </w:t>
      </w:r>
    </w:p>
    <w:p w14:paraId="1C91653B" w14:textId="77777777" w:rsidR="00863682" w:rsidRPr="00863682" w:rsidRDefault="00863682" w:rsidP="00051BAF">
      <w:pPr>
        <w:rPr>
          <w:lang w:val="en-US" w:eastAsia="ja-JP"/>
        </w:rPr>
      </w:pPr>
    </w:p>
    <w:p w14:paraId="0E66FDC0" w14:textId="62C4F252" w:rsidR="00863682" w:rsidRDefault="00863682" w:rsidP="00863682">
      <w:pPr>
        <w:pStyle w:val="RAN4H3"/>
        <w:rPr>
          <w:lang w:val="en-US" w:eastAsia="ja-JP"/>
        </w:rPr>
      </w:pPr>
      <w:r>
        <w:rPr>
          <w:lang w:val="en-US" w:eastAsia="ja-JP"/>
        </w:rPr>
        <w:t xml:space="preserve">Phase Noise </w:t>
      </w:r>
    </w:p>
    <w:p w14:paraId="1B23BAAA" w14:textId="2BD47854" w:rsidR="00863682" w:rsidRPr="00863682" w:rsidRDefault="0088362F" w:rsidP="00051BAF">
      <w:pPr>
        <w:rPr>
          <w:lang w:val="en-US" w:eastAsia="ja-JP"/>
        </w:rPr>
      </w:pPr>
      <w:r>
        <w:rPr>
          <w:lang w:val="en-US" w:eastAsia="ja-JP"/>
        </w:rPr>
        <w:t xml:space="preserve">It is well known that </w:t>
      </w:r>
      <w:r w:rsidR="00D70B30">
        <w:rPr>
          <w:lang w:val="en-US" w:eastAsia="ja-JP"/>
        </w:rPr>
        <w:t xml:space="preserve">the wider SCS are more robust to phase noise than narrower SCS, which would tend to </w:t>
      </w:r>
      <w:proofErr w:type="spellStart"/>
      <w:r w:rsidR="00D70B30">
        <w:rPr>
          <w:lang w:val="en-US" w:eastAsia="ja-JP"/>
        </w:rPr>
        <w:t>favour</w:t>
      </w:r>
      <w:proofErr w:type="spellEnd"/>
      <w:r w:rsidR="00D70B30">
        <w:rPr>
          <w:lang w:val="en-US" w:eastAsia="ja-JP"/>
        </w:rPr>
        <w:t xml:space="preserve"> FR2-NTN numerologies, which adopts 120 kHz of SCS, compared to the 30 kHz offered by FR1-NTN. However, previous investigations that can be found in</w:t>
      </w:r>
      <w:r w:rsidR="0090668F">
        <w:rPr>
          <w:lang w:val="en-US" w:eastAsia="ja-JP"/>
        </w:rPr>
        <w:t xml:space="preserve"> </w:t>
      </w:r>
      <w:r w:rsidR="0090668F">
        <w:rPr>
          <w:lang w:val="en-US" w:eastAsia="ja-JP"/>
        </w:rPr>
        <w:fldChar w:fldCharType="begin"/>
      </w:r>
      <w:r w:rsidR="0090668F">
        <w:rPr>
          <w:lang w:val="en-US" w:eastAsia="ja-JP"/>
        </w:rPr>
        <w:instrText xml:space="preserve"> REF _Ref181642395 \r \h </w:instrText>
      </w:r>
      <w:r w:rsidR="00682DC7">
        <w:rPr>
          <w:lang w:val="en-US" w:eastAsia="ja-JP"/>
        </w:rPr>
        <w:instrText xml:space="preserve"> \* MERGEFORMAT </w:instrText>
      </w:r>
      <w:r w:rsidR="0090668F">
        <w:rPr>
          <w:lang w:val="en-US" w:eastAsia="ja-JP"/>
        </w:rPr>
      </w:r>
      <w:r w:rsidR="0090668F">
        <w:rPr>
          <w:lang w:val="en-US" w:eastAsia="ja-JP"/>
        </w:rPr>
        <w:fldChar w:fldCharType="separate"/>
      </w:r>
      <w:r w:rsidR="0090668F">
        <w:rPr>
          <w:lang w:val="en-US" w:eastAsia="ja-JP"/>
        </w:rPr>
        <w:t>[8]</w:t>
      </w:r>
      <w:r w:rsidR="0090668F">
        <w:rPr>
          <w:lang w:val="en-US" w:eastAsia="ja-JP"/>
        </w:rPr>
        <w:fldChar w:fldCharType="end"/>
      </w:r>
      <w:r w:rsidR="0090668F">
        <w:rPr>
          <w:lang w:val="en-US" w:eastAsia="ja-JP"/>
        </w:rPr>
        <w:fldChar w:fldCharType="begin"/>
      </w:r>
      <w:r w:rsidR="0090668F">
        <w:rPr>
          <w:lang w:val="en-US" w:eastAsia="ja-JP"/>
        </w:rPr>
        <w:instrText xml:space="preserve"> REF _Ref181642396 \r \h </w:instrText>
      </w:r>
      <w:r w:rsidR="00682DC7">
        <w:rPr>
          <w:lang w:val="en-US" w:eastAsia="ja-JP"/>
        </w:rPr>
        <w:instrText xml:space="preserve"> \* MERGEFORMAT </w:instrText>
      </w:r>
      <w:r w:rsidR="0090668F">
        <w:rPr>
          <w:lang w:val="en-US" w:eastAsia="ja-JP"/>
        </w:rPr>
      </w:r>
      <w:r w:rsidR="0090668F">
        <w:rPr>
          <w:lang w:val="en-US" w:eastAsia="ja-JP"/>
        </w:rPr>
        <w:fldChar w:fldCharType="separate"/>
      </w:r>
      <w:r w:rsidR="0090668F">
        <w:rPr>
          <w:lang w:val="en-US" w:eastAsia="ja-JP"/>
        </w:rPr>
        <w:t>[9]</w:t>
      </w:r>
      <w:r w:rsidR="0090668F">
        <w:rPr>
          <w:lang w:val="en-US" w:eastAsia="ja-JP"/>
        </w:rPr>
        <w:fldChar w:fldCharType="end"/>
      </w:r>
      <w:r w:rsidR="00D70B30">
        <w:rPr>
          <w:lang w:val="en-US" w:eastAsia="ja-JP"/>
        </w:rPr>
        <w:t xml:space="preserve"> and </w:t>
      </w:r>
      <w:r w:rsidR="0090668F">
        <w:rPr>
          <w:lang w:val="en-US" w:eastAsia="ja-JP"/>
        </w:rPr>
        <w:fldChar w:fldCharType="begin"/>
      </w:r>
      <w:r w:rsidR="0090668F">
        <w:rPr>
          <w:lang w:val="en-US" w:eastAsia="ja-JP"/>
        </w:rPr>
        <w:instrText xml:space="preserve"> REF _Ref181642405 \r \h </w:instrText>
      </w:r>
      <w:r w:rsidR="00682DC7">
        <w:rPr>
          <w:lang w:val="en-US" w:eastAsia="ja-JP"/>
        </w:rPr>
        <w:instrText xml:space="preserve"> \* MERGEFORMAT </w:instrText>
      </w:r>
      <w:r w:rsidR="0090668F">
        <w:rPr>
          <w:lang w:val="en-US" w:eastAsia="ja-JP"/>
        </w:rPr>
      </w:r>
      <w:r w:rsidR="0090668F">
        <w:rPr>
          <w:lang w:val="en-US" w:eastAsia="ja-JP"/>
        </w:rPr>
        <w:fldChar w:fldCharType="separate"/>
      </w:r>
      <w:r w:rsidR="0090668F">
        <w:rPr>
          <w:lang w:val="en-US" w:eastAsia="ja-JP"/>
        </w:rPr>
        <w:t>[10]</w:t>
      </w:r>
      <w:r w:rsidR="0090668F">
        <w:rPr>
          <w:lang w:val="en-US" w:eastAsia="ja-JP"/>
        </w:rPr>
        <w:fldChar w:fldCharType="end"/>
      </w:r>
      <w:r w:rsidR="00D70B30">
        <w:rPr>
          <w:lang w:val="en-US" w:eastAsia="ja-JP"/>
        </w:rPr>
        <w:t xml:space="preserve"> have demonstrated that there is no significant difference between the two numerologies</w:t>
      </w:r>
      <w:r w:rsidR="00762710">
        <w:rPr>
          <w:lang w:val="en-US" w:eastAsia="ja-JP"/>
        </w:rPr>
        <w:t xml:space="preserve"> at the frequency ranges adopted in Ku band, although further evaluation might be required for the specific case of NTN deployments (which would require assistance of satellite companies)</w:t>
      </w:r>
      <w:r w:rsidR="000C0703">
        <w:rPr>
          <w:rFonts w:hint="eastAsia"/>
          <w:lang w:val="en-US" w:eastAsia="ja-JP"/>
        </w:rPr>
        <w:t>.</w:t>
      </w:r>
    </w:p>
    <w:p w14:paraId="3D23DA6B" w14:textId="235E53F5" w:rsidR="004B798B" w:rsidRDefault="0090668F" w:rsidP="004B798B">
      <w:pPr>
        <w:rPr>
          <w:lang w:val="en-US" w:eastAsia="ja-JP"/>
        </w:rPr>
      </w:pPr>
      <w:r>
        <w:rPr>
          <w:lang w:val="en-US" w:eastAsia="ja-JP"/>
        </w:rPr>
        <w:t>Therefore, based on the previous analysis we propose the following:</w:t>
      </w:r>
    </w:p>
    <w:p w14:paraId="2106EFD6" w14:textId="77777777" w:rsidR="00323A85" w:rsidRDefault="00890641" w:rsidP="0090668F">
      <w:pPr>
        <w:pStyle w:val="RAN4proposal"/>
        <w:rPr>
          <w:lang w:val="en-US" w:eastAsia="ja-JP"/>
        </w:rPr>
      </w:pPr>
      <w:bookmarkStart w:id="10" w:name="_Toc181926919"/>
      <w:r>
        <w:rPr>
          <w:lang w:val="en-US" w:eastAsia="ja-JP"/>
        </w:rPr>
        <w:t xml:space="preserve">For the decision criteria related to Phase Noise, capture that </w:t>
      </w:r>
      <w:r w:rsidR="00323A85">
        <w:rPr>
          <w:lang w:val="en-US" w:eastAsia="ja-JP"/>
        </w:rPr>
        <w:t>no significant differences were identified in the performance at FR1-NTN and FR2-NTN.</w:t>
      </w:r>
      <w:bookmarkEnd w:id="10"/>
      <w:r w:rsidR="00323A85">
        <w:rPr>
          <w:lang w:val="en-US" w:eastAsia="ja-JP"/>
        </w:rPr>
        <w:t xml:space="preserve"> </w:t>
      </w:r>
    </w:p>
    <w:p w14:paraId="328229FC" w14:textId="77777777" w:rsidR="00323A85" w:rsidRDefault="00323A85" w:rsidP="00323A85">
      <w:pPr>
        <w:pStyle w:val="RAN4proposal"/>
        <w:numPr>
          <w:ilvl w:val="0"/>
          <w:numId w:val="0"/>
        </w:numPr>
        <w:rPr>
          <w:lang w:val="en-US" w:eastAsia="ja-JP"/>
        </w:rPr>
      </w:pPr>
    </w:p>
    <w:p w14:paraId="15BA161E" w14:textId="1585AA4B" w:rsidR="0090668F" w:rsidRDefault="00323A85" w:rsidP="001D696C">
      <w:pPr>
        <w:pStyle w:val="RAN4H3"/>
        <w:rPr>
          <w:lang w:val="en-US" w:eastAsia="ja-JP"/>
        </w:rPr>
      </w:pPr>
      <w:r>
        <w:rPr>
          <w:lang w:val="en-US" w:eastAsia="ja-JP"/>
        </w:rPr>
        <w:t>Efficient Channel Utilization</w:t>
      </w:r>
    </w:p>
    <w:p w14:paraId="06D07F8C" w14:textId="637617AB" w:rsidR="001D696C" w:rsidRPr="00051BAF" w:rsidRDefault="001D696C" w:rsidP="00051BAF">
      <w:pPr>
        <w:rPr>
          <w:szCs w:val="20"/>
          <w:lang w:eastAsia="ja-JP"/>
        </w:rPr>
      </w:pPr>
      <w:r w:rsidRPr="00051BAF">
        <w:rPr>
          <w:szCs w:val="20"/>
          <w:lang w:eastAsia="ja-JP"/>
        </w:rPr>
        <w:t>In terms of efficiency in the channel utilization, 3GPP specifications are quite flexible and enable different configurations that allow the system to adapt to different environments and conditions</w:t>
      </w:r>
      <w:r w:rsidR="000B0007" w:rsidRPr="00051BAF">
        <w:rPr>
          <w:szCs w:val="20"/>
          <w:lang w:eastAsia="ja-JP"/>
        </w:rPr>
        <w:t>, normally no significant difference would be seen</w:t>
      </w:r>
      <w:r w:rsidR="002A132E" w:rsidRPr="00051BAF">
        <w:rPr>
          <w:szCs w:val="20"/>
          <w:lang w:eastAsia="ja-JP"/>
        </w:rPr>
        <w:t xml:space="preserve"> between the two numerologies. </w:t>
      </w:r>
    </w:p>
    <w:p w14:paraId="7C989BB3" w14:textId="355C0AD0" w:rsidR="002A132E" w:rsidRDefault="002A132E" w:rsidP="00723B63">
      <w:pPr>
        <w:rPr>
          <w:szCs w:val="20"/>
          <w:lang w:eastAsia="ja-JP"/>
        </w:rPr>
      </w:pPr>
      <w:r w:rsidRPr="00051BAF">
        <w:rPr>
          <w:szCs w:val="20"/>
          <w:lang w:eastAsia="ja-JP"/>
        </w:rPr>
        <w:t xml:space="preserve">However, this criterion was added to investigate which numerology would </w:t>
      </w:r>
      <w:r w:rsidR="00055476" w:rsidRPr="00051BAF">
        <w:rPr>
          <w:szCs w:val="20"/>
          <w:lang w:eastAsia="ja-JP"/>
        </w:rPr>
        <w:t xml:space="preserve">provide a better fit to the </w:t>
      </w:r>
      <w:r w:rsidR="00C90FAB" w:rsidRPr="00051BAF">
        <w:rPr>
          <w:szCs w:val="20"/>
          <w:lang w:eastAsia="ja-JP"/>
        </w:rPr>
        <w:t>available transponders implemented in the satellite market</w:t>
      </w:r>
      <w:r w:rsidR="00565DF6" w:rsidRPr="00051BAF">
        <w:rPr>
          <w:szCs w:val="20"/>
          <w:lang w:eastAsia="ja-JP"/>
        </w:rPr>
        <w:t>. The efficient usage of 250 MHz (Downlink) and 125 MHz (Uplink) transponders is critically important, whereas, othe</w:t>
      </w:r>
      <w:r w:rsidR="00AA6F0F" w:rsidRPr="00051BAF">
        <w:rPr>
          <w:szCs w:val="20"/>
          <w:lang w:eastAsia="ja-JP"/>
        </w:rPr>
        <w:t xml:space="preserve">r legacy transponders (such as 36 MHz) are also considered important for some satellite operators according to </w:t>
      </w:r>
      <w:r w:rsidR="00723B63" w:rsidRPr="00051BAF">
        <w:rPr>
          <w:szCs w:val="20"/>
          <w:lang w:eastAsia="ja-JP"/>
        </w:rPr>
        <w:fldChar w:fldCharType="begin"/>
      </w:r>
      <w:r w:rsidR="00723B63" w:rsidRPr="00051BAF">
        <w:rPr>
          <w:szCs w:val="20"/>
          <w:lang w:eastAsia="ja-JP"/>
        </w:rPr>
        <w:instrText xml:space="preserve"> REF _Ref181643141 \r \h </w:instrText>
      </w:r>
      <w:r w:rsidR="00723B63">
        <w:rPr>
          <w:szCs w:val="20"/>
          <w:lang w:eastAsia="ja-JP"/>
        </w:rPr>
        <w:instrText xml:space="preserve"> \* MERGEFORMAT </w:instrText>
      </w:r>
      <w:r w:rsidR="00723B63" w:rsidRPr="00051BAF">
        <w:rPr>
          <w:szCs w:val="20"/>
          <w:lang w:eastAsia="ja-JP"/>
        </w:rPr>
      </w:r>
      <w:r w:rsidR="00723B63" w:rsidRPr="00051BAF">
        <w:rPr>
          <w:szCs w:val="20"/>
          <w:lang w:eastAsia="ja-JP"/>
        </w:rPr>
        <w:fldChar w:fldCharType="separate"/>
      </w:r>
      <w:r w:rsidR="00723B63" w:rsidRPr="00051BAF">
        <w:rPr>
          <w:szCs w:val="20"/>
          <w:lang w:eastAsia="ja-JP"/>
        </w:rPr>
        <w:t>[11]</w:t>
      </w:r>
      <w:r w:rsidR="00723B63" w:rsidRPr="00051BAF">
        <w:rPr>
          <w:szCs w:val="20"/>
          <w:lang w:eastAsia="ja-JP"/>
        </w:rPr>
        <w:fldChar w:fldCharType="end"/>
      </w:r>
      <w:r w:rsidR="00723B63">
        <w:rPr>
          <w:szCs w:val="20"/>
          <w:lang w:eastAsia="ja-JP"/>
        </w:rPr>
        <w:t>.</w:t>
      </w:r>
    </w:p>
    <w:p w14:paraId="58828BD0" w14:textId="2F236A93" w:rsidR="00326AB0" w:rsidRDefault="00723B63" w:rsidP="00723B63">
      <w:pPr>
        <w:rPr>
          <w:szCs w:val="20"/>
          <w:lang w:eastAsia="ja-JP"/>
        </w:rPr>
      </w:pPr>
      <w:r>
        <w:rPr>
          <w:szCs w:val="20"/>
          <w:lang w:eastAsia="ja-JP"/>
        </w:rPr>
        <w:lastRenderedPageBreak/>
        <w:t xml:space="preserve">As CA is not currently implemented in NTN (neither for FR1-NTN </w:t>
      </w:r>
      <w:r w:rsidR="00326AB0">
        <w:rPr>
          <w:szCs w:val="20"/>
          <w:lang w:eastAsia="ja-JP"/>
        </w:rPr>
        <w:t>nor</w:t>
      </w:r>
      <w:r>
        <w:rPr>
          <w:szCs w:val="20"/>
          <w:lang w:eastAsia="ja-JP"/>
        </w:rPr>
        <w:t xml:space="preserve"> FR2-NTN)</w:t>
      </w:r>
      <w:r w:rsidR="00326AB0">
        <w:rPr>
          <w:szCs w:val="20"/>
          <w:lang w:eastAsia="ja-JP"/>
        </w:rPr>
        <w:t xml:space="preserve">, the following analysis will be performed only considering single carrier implementation. </w:t>
      </w:r>
    </w:p>
    <w:p w14:paraId="39116BA6" w14:textId="0FBA49E2" w:rsidR="00997647" w:rsidRDefault="00997647" w:rsidP="00051BAF">
      <w:pPr>
        <w:pStyle w:val="Caption"/>
        <w:keepNext/>
      </w:pPr>
      <w:bookmarkStart w:id="11" w:name="_Ref181643653"/>
      <w:r>
        <w:t xml:space="preserve">Table </w:t>
      </w:r>
      <w:r>
        <w:fldChar w:fldCharType="begin"/>
      </w:r>
      <w:r>
        <w:instrText xml:space="preserve"> SEQ Table \* ARABIC </w:instrText>
      </w:r>
      <w:r>
        <w:fldChar w:fldCharType="separate"/>
      </w:r>
      <w:r>
        <w:rPr>
          <w:noProof/>
        </w:rPr>
        <w:t>2</w:t>
      </w:r>
      <w:r>
        <w:fldChar w:fldCharType="end"/>
      </w:r>
      <w:bookmarkEnd w:id="11"/>
      <w:r w:rsidR="002C468E">
        <w:t>. Analysis of channel efficiency</w:t>
      </w:r>
    </w:p>
    <w:tbl>
      <w:tblPr>
        <w:tblStyle w:val="TableGrid"/>
        <w:tblW w:w="0" w:type="auto"/>
        <w:tblLook w:val="04A0" w:firstRow="1" w:lastRow="0" w:firstColumn="1" w:lastColumn="0" w:noHBand="0" w:noVBand="1"/>
      </w:tblPr>
      <w:tblGrid>
        <w:gridCol w:w="3205"/>
        <w:gridCol w:w="3206"/>
        <w:gridCol w:w="3206"/>
      </w:tblGrid>
      <w:tr w:rsidR="00326AB0" w14:paraId="5DD7AD75" w14:textId="77777777" w:rsidTr="00326AB0">
        <w:tc>
          <w:tcPr>
            <w:tcW w:w="3205" w:type="dxa"/>
          </w:tcPr>
          <w:p w14:paraId="1D43731F" w14:textId="523B567A" w:rsidR="00326AB0" w:rsidRDefault="005E0B31" w:rsidP="00723B63">
            <w:pPr>
              <w:rPr>
                <w:szCs w:val="20"/>
                <w:lang w:eastAsia="ja-JP"/>
              </w:rPr>
            </w:pPr>
            <w:r>
              <w:rPr>
                <w:szCs w:val="20"/>
                <w:lang w:eastAsia="ja-JP"/>
              </w:rPr>
              <w:t>Transponder bandwidth</w:t>
            </w:r>
          </w:p>
        </w:tc>
        <w:tc>
          <w:tcPr>
            <w:tcW w:w="3206" w:type="dxa"/>
          </w:tcPr>
          <w:p w14:paraId="3FA427D4" w14:textId="684EFB13" w:rsidR="00326AB0" w:rsidRDefault="005E0B31" w:rsidP="00723B63">
            <w:pPr>
              <w:rPr>
                <w:szCs w:val="20"/>
                <w:lang w:eastAsia="ja-JP"/>
              </w:rPr>
            </w:pPr>
            <w:r>
              <w:rPr>
                <w:szCs w:val="20"/>
                <w:lang w:eastAsia="ja-JP"/>
              </w:rPr>
              <w:t xml:space="preserve">FR1-NTN </w:t>
            </w:r>
            <w:r w:rsidR="00BB154A">
              <w:rPr>
                <w:szCs w:val="20"/>
                <w:lang w:eastAsia="ja-JP"/>
              </w:rPr>
              <w:t>support</w:t>
            </w:r>
          </w:p>
        </w:tc>
        <w:tc>
          <w:tcPr>
            <w:tcW w:w="3206" w:type="dxa"/>
          </w:tcPr>
          <w:p w14:paraId="1798D95E" w14:textId="1F0B1351" w:rsidR="00326AB0" w:rsidRDefault="00BB154A" w:rsidP="00723B63">
            <w:pPr>
              <w:rPr>
                <w:szCs w:val="20"/>
                <w:lang w:eastAsia="ja-JP"/>
              </w:rPr>
            </w:pPr>
            <w:r>
              <w:rPr>
                <w:szCs w:val="20"/>
                <w:lang w:eastAsia="ja-JP"/>
              </w:rPr>
              <w:t>FR2-NTN Support</w:t>
            </w:r>
          </w:p>
        </w:tc>
      </w:tr>
      <w:tr w:rsidR="00326AB0" w14:paraId="4295C289" w14:textId="77777777" w:rsidTr="00326AB0">
        <w:tc>
          <w:tcPr>
            <w:tcW w:w="3205" w:type="dxa"/>
          </w:tcPr>
          <w:p w14:paraId="36265831" w14:textId="21BCCAB7" w:rsidR="00326AB0" w:rsidRDefault="00BB154A" w:rsidP="00723B63">
            <w:pPr>
              <w:rPr>
                <w:szCs w:val="20"/>
                <w:lang w:eastAsia="ja-JP"/>
              </w:rPr>
            </w:pPr>
            <w:r>
              <w:rPr>
                <w:szCs w:val="20"/>
                <w:lang w:eastAsia="ja-JP"/>
              </w:rPr>
              <w:t>125 MHz</w:t>
            </w:r>
          </w:p>
        </w:tc>
        <w:tc>
          <w:tcPr>
            <w:tcW w:w="3206" w:type="dxa"/>
          </w:tcPr>
          <w:p w14:paraId="78121ED9" w14:textId="7EB7D3DA" w:rsidR="00326AB0" w:rsidRDefault="00827BCA" w:rsidP="00723B63">
            <w:pPr>
              <w:rPr>
                <w:szCs w:val="20"/>
                <w:lang w:eastAsia="ja-JP"/>
              </w:rPr>
            </w:pPr>
            <w:r>
              <w:rPr>
                <w:szCs w:val="20"/>
                <w:lang w:eastAsia="ja-JP"/>
              </w:rPr>
              <w:t>1</w:t>
            </w:r>
            <w:r w:rsidR="00EF279C">
              <w:rPr>
                <w:szCs w:val="20"/>
                <w:lang w:eastAsia="ja-JP"/>
              </w:rPr>
              <w:t xml:space="preserve">00 MHz carrier + 20 MHz carrier </w:t>
            </w:r>
            <w:r w:rsidR="00EF279C" w:rsidRPr="00051BAF">
              <w:rPr>
                <w:color w:val="00B050"/>
                <w:szCs w:val="20"/>
                <w:lang w:eastAsia="ja-JP"/>
              </w:rPr>
              <w:t>(5 MHz not utilized)</w:t>
            </w:r>
          </w:p>
        </w:tc>
        <w:tc>
          <w:tcPr>
            <w:tcW w:w="3206" w:type="dxa"/>
          </w:tcPr>
          <w:p w14:paraId="354F21EA" w14:textId="77777777" w:rsidR="00326AB0" w:rsidRDefault="00B94161" w:rsidP="00723B63">
            <w:pPr>
              <w:rPr>
                <w:szCs w:val="20"/>
                <w:lang w:eastAsia="ja-JP"/>
              </w:rPr>
            </w:pPr>
            <w:r>
              <w:rPr>
                <w:szCs w:val="20"/>
                <w:lang w:eastAsia="ja-JP"/>
              </w:rPr>
              <w:t xml:space="preserve">100 MHz carrier </w:t>
            </w:r>
          </w:p>
          <w:p w14:paraId="6A365CDF" w14:textId="2FF7FCE5" w:rsidR="00B94161" w:rsidRDefault="00B94161" w:rsidP="00723B63">
            <w:pPr>
              <w:rPr>
                <w:szCs w:val="20"/>
                <w:lang w:eastAsia="ja-JP"/>
              </w:rPr>
            </w:pPr>
            <w:r w:rsidRPr="00051BAF">
              <w:rPr>
                <w:color w:val="FF0000"/>
                <w:szCs w:val="20"/>
                <w:lang w:eastAsia="ja-JP"/>
              </w:rPr>
              <w:t>(25 MHz not utilized)</w:t>
            </w:r>
          </w:p>
        </w:tc>
      </w:tr>
      <w:tr w:rsidR="00326AB0" w14:paraId="4B37F1C2" w14:textId="77777777" w:rsidTr="00326AB0">
        <w:tc>
          <w:tcPr>
            <w:tcW w:w="3205" w:type="dxa"/>
          </w:tcPr>
          <w:p w14:paraId="0654CE5A" w14:textId="4057CCD6" w:rsidR="00326AB0" w:rsidRDefault="00BB154A" w:rsidP="00723B63">
            <w:pPr>
              <w:rPr>
                <w:szCs w:val="20"/>
                <w:lang w:eastAsia="ja-JP"/>
              </w:rPr>
            </w:pPr>
            <w:r>
              <w:rPr>
                <w:szCs w:val="20"/>
                <w:lang w:eastAsia="ja-JP"/>
              </w:rPr>
              <w:t>250 MHz</w:t>
            </w:r>
          </w:p>
        </w:tc>
        <w:tc>
          <w:tcPr>
            <w:tcW w:w="3206" w:type="dxa"/>
          </w:tcPr>
          <w:p w14:paraId="7E7CF83B" w14:textId="31613927" w:rsidR="00326AB0" w:rsidRDefault="00B94161" w:rsidP="00723B63">
            <w:pPr>
              <w:rPr>
                <w:szCs w:val="20"/>
                <w:lang w:eastAsia="ja-JP"/>
              </w:rPr>
            </w:pPr>
            <w:r>
              <w:rPr>
                <w:szCs w:val="20"/>
                <w:lang w:eastAsia="ja-JP"/>
              </w:rPr>
              <w:t xml:space="preserve">2 x </w:t>
            </w:r>
            <w:r w:rsidR="00FA349A">
              <w:rPr>
                <w:szCs w:val="20"/>
                <w:lang w:eastAsia="ja-JP"/>
              </w:rPr>
              <w:t>100 MHz carrier + 50 MHz carrier</w:t>
            </w:r>
          </w:p>
        </w:tc>
        <w:tc>
          <w:tcPr>
            <w:tcW w:w="3206" w:type="dxa"/>
          </w:tcPr>
          <w:p w14:paraId="1B4BEFB7" w14:textId="25FD2815" w:rsidR="00326AB0" w:rsidRDefault="00FA349A" w:rsidP="00723B63">
            <w:pPr>
              <w:rPr>
                <w:szCs w:val="20"/>
                <w:lang w:eastAsia="ja-JP"/>
              </w:rPr>
            </w:pPr>
            <w:r>
              <w:rPr>
                <w:szCs w:val="20"/>
                <w:lang w:eastAsia="ja-JP"/>
              </w:rPr>
              <w:t>200 MHz carrier + 50 M</w:t>
            </w:r>
            <w:r w:rsidR="00B8117A">
              <w:rPr>
                <w:rFonts w:hint="eastAsia"/>
                <w:szCs w:val="20"/>
                <w:lang w:eastAsia="ja-JP"/>
              </w:rPr>
              <w:t>H</w:t>
            </w:r>
            <w:r>
              <w:rPr>
                <w:szCs w:val="20"/>
                <w:lang w:eastAsia="ja-JP"/>
              </w:rPr>
              <w:t>z carrier</w:t>
            </w:r>
          </w:p>
        </w:tc>
      </w:tr>
      <w:tr w:rsidR="00326AB0" w14:paraId="72D4C5D0" w14:textId="77777777" w:rsidTr="00326AB0">
        <w:tc>
          <w:tcPr>
            <w:tcW w:w="3205" w:type="dxa"/>
          </w:tcPr>
          <w:p w14:paraId="3C4274BF" w14:textId="34A555F1" w:rsidR="00326AB0" w:rsidRDefault="00BB154A" w:rsidP="00723B63">
            <w:pPr>
              <w:rPr>
                <w:szCs w:val="20"/>
                <w:lang w:eastAsia="ja-JP"/>
              </w:rPr>
            </w:pPr>
            <w:r>
              <w:rPr>
                <w:szCs w:val="20"/>
                <w:lang w:eastAsia="ja-JP"/>
              </w:rPr>
              <w:t>36 MHz</w:t>
            </w:r>
          </w:p>
        </w:tc>
        <w:tc>
          <w:tcPr>
            <w:tcW w:w="3206" w:type="dxa"/>
          </w:tcPr>
          <w:p w14:paraId="5C8591FC" w14:textId="21AAC738" w:rsidR="00326AB0" w:rsidRDefault="001B0672" w:rsidP="00723B63">
            <w:pPr>
              <w:rPr>
                <w:szCs w:val="20"/>
                <w:lang w:eastAsia="ja-JP"/>
              </w:rPr>
            </w:pPr>
            <w:r>
              <w:rPr>
                <w:szCs w:val="20"/>
                <w:lang w:eastAsia="ja-JP"/>
              </w:rPr>
              <w:t>35 MHz carrier</w:t>
            </w:r>
          </w:p>
        </w:tc>
        <w:tc>
          <w:tcPr>
            <w:tcW w:w="3206" w:type="dxa"/>
          </w:tcPr>
          <w:p w14:paraId="0B3E5F25" w14:textId="1A27C1B3" w:rsidR="00326AB0" w:rsidRDefault="001B0672" w:rsidP="00723B63">
            <w:pPr>
              <w:rPr>
                <w:szCs w:val="20"/>
                <w:lang w:eastAsia="ja-JP"/>
              </w:rPr>
            </w:pPr>
            <w:r w:rsidRPr="00051BAF">
              <w:rPr>
                <w:color w:val="FF0000"/>
                <w:szCs w:val="20"/>
                <w:lang w:eastAsia="ja-JP"/>
              </w:rPr>
              <w:t>Not supported</w:t>
            </w:r>
          </w:p>
        </w:tc>
      </w:tr>
    </w:tbl>
    <w:p w14:paraId="185133C7" w14:textId="77777777" w:rsidR="00326AB0" w:rsidRDefault="00326AB0" w:rsidP="00723B63">
      <w:pPr>
        <w:rPr>
          <w:szCs w:val="20"/>
          <w:lang w:eastAsia="ja-JP"/>
        </w:rPr>
      </w:pPr>
    </w:p>
    <w:p w14:paraId="22FEEE9D" w14:textId="7BF76453" w:rsidR="00997647" w:rsidRDefault="00997647" w:rsidP="00723B63">
      <w:pPr>
        <w:rPr>
          <w:szCs w:val="20"/>
          <w:lang w:eastAsia="ja-JP"/>
        </w:rPr>
      </w:pPr>
      <w:r>
        <w:rPr>
          <w:szCs w:val="20"/>
          <w:lang w:eastAsia="ja-JP"/>
        </w:rPr>
        <w:t xml:space="preserve">The first two rows in </w:t>
      </w:r>
      <w:r w:rsidR="002C468E">
        <w:rPr>
          <w:szCs w:val="20"/>
          <w:lang w:eastAsia="ja-JP"/>
        </w:rPr>
        <w:fldChar w:fldCharType="begin"/>
      </w:r>
      <w:r w:rsidR="002C468E">
        <w:rPr>
          <w:szCs w:val="20"/>
          <w:lang w:eastAsia="ja-JP"/>
        </w:rPr>
        <w:instrText xml:space="preserve"> REF _Ref181643653 \h </w:instrText>
      </w:r>
      <w:r w:rsidR="002C468E">
        <w:rPr>
          <w:szCs w:val="20"/>
          <w:lang w:eastAsia="ja-JP"/>
        </w:rPr>
      </w:r>
      <w:r w:rsidR="002C468E">
        <w:rPr>
          <w:szCs w:val="20"/>
          <w:lang w:eastAsia="ja-JP"/>
        </w:rPr>
        <w:fldChar w:fldCharType="separate"/>
      </w:r>
      <w:r w:rsidR="002C468E">
        <w:t xml:space="preserve">Table </w:t>
      </w:r>
      <w:r w:rsidR="002C468E">
        <w:rPr>
          <w:noProof/>
        </w:rPr>
        <w:t>2</w:t>
      </w:r>
      <w:r w:rsidR="002C468E">
        <w:rPr>
          <w:szCs w:val="20"/>
          <w:lang w:eastAsia="ja-JP"/>
        </w:rPr>
        <w:fldChar w:fldCharType="end"/>
      </w:r>
      <w:r w:rsidR="002C468E">
        <w:rPr>
          <w:szCs w:val="20"/>
          <w:lang w:eastAsia="ja-JP"/>
        </w:rPr>
        <w:t xml:space="preserve"> are representative of the two BWs </w:t>
      </w:r>
      <w:r w:rsidR="002C468E">
        <w:rPr>
          <w:lang w:eastAsia="ja-JP"/>
        </w:rPr>
        <w:t xml:space="preserve">agreed in the WID (125 MHz UL and 250 MHz DL) as fundamental. </w:t>
      </w:r>
      <w:r w:rsidR="00990D32">
        <w:rPr>
          <w:lang w:eastAsia="ja-JP"/>
        </w:rPr>
        <w:t xml:space="preserve">Whereas, the third row is indicated for information, as it was raised as an important use case in </w:t>
      </w:r>
      <w:r w:rsidR="00E755D4">
        <w:rPr>
          <w:lang w:eastAsia="ja-JP"/>
        </w:rPr>
        <w:fldChar w:fldCharType="begin"/>
      </w:r>
      <w:r w:rsidR="00E755D4">
        <w:rPr>
          <w:lang w:eastAsia="ja-JP"/>
        </w:rPr>
        <w:instrText xml:space="preserve"> REF _Ref181643141 \r \h </w:instrText>
      </w:r>
      <w:r w:rsidR="00E755D4">
        <w:rPr>
          <w:lang w:eastAsia="ja-JP"/>
        </w:rPr>
      </w:r>
      <w:r w:rsidR="00E755D4">
        <w:rPr>
          <w:lang w:eastAsia="ja-JP"/>
        </w:rPr>
        <w:fldChar w:fldCharType="separate"/>
      </w:r>
      <w:r w:rsidR="00E755D4">
        <w:rPr>
          <w:lang w:eastAsia="ja-JP"/>
        </w:rPr>
        <w:t>[11]</w:t>
      </w:r>
      <w:r w:rsidR="00E755D4">
        <w:rPr>
          <w:lang w:eastAsia="ja-JP"/>
        </w:rPr>
        <w:fldChar w:fldCharType="end"/>
      </w:r>
      <w:r w:rsidR="00E755D4">
        <w:rPr>
          <w:rFonts w:hint="eastAsia"/>
          <w:lang w:eastAsia="ja-JP"/>
        </w:rPr>
        <w:t>.</w:t>
      </w:r>
    </w:p>
    <w:p w14:paraId="70A9C028" w14:textId="55CE0B2D" w:rsidR="001B0672" w:rsidRPr="00051BAF" w:rsidRDefault="00E07944" w:rsidP="001B0672">
      <w:pPr>
        <w:pStyle w:val="RAN4observation0"/>
        <w:rPr>
          <w:b/>
          <w:bCs/>
          <w:lang w:eastAsia="ja-JP"/>
        </w:rPr>
      </w:pPr>
      <w:bookmarkStart w:id="12" w:name="_Toc181926920"/>
      <w:r w:rsidRPr="00051BAF">
        <w:rPr>
          <w:b/>
          <w:bCs/>
          <w:lang w:eastAsia="ja-JP"/>
        </w:rPr>
        <w:t xml:space="preserve">Both </w:t>
      </w:r>
      <w:r w:rsidR="00832A2F" w:rsidRPr="00051BAF">
        <w:rPr>
          <w:b/>
          <w:bCs/>
          <w:lang w:eastAsia="ja-JP"/>
        </w:rPr>
        <w:t>numerologies</w:t>
      </w:r>
      <w:r w:rsidRPr="00051BAF">
        <w:rPr>
          <w:b/>
          <w:bCs/>
          <w:lang w:eastAsia="ja-JP"/>
        </w:rPr>
        <w:t xml:space="preserve"> can support 250 MHz efficiently, </w:t>
      </w:r>
      <w:r w:rsidR="00832A2F" w:rsidRPr="00051BAF">
        <w:rPr>
          <w:b/>
          <w:bCs/>
          <w:lang w:eastAsia="ja-JP"/>
        </w:rPr>
        <w:t>but for the UL BW (125 MHz), more unused spectrum is observed at FR2-NTN.</w:t>
      </w:r>
      <w:bookmarkEnd w:id="12"/>
      <w:r w:rsidR="00832A2F" w:rsidRPr="00051BAF">
        <w:rPr>
          <w:b/>
          <w:bCs/>
          <w:lang w:eastAsia="ja-JP"/>
        </w:rPr>
        <w:t xml:space="preserve"> </w:t>
      </w:r>
    </w:p>
    <w:p w14:paraId="4934D411" w14:textId="7412CBEA" w:rsidR="00832A2F" w:rsidRDefault="00832A2F" w:rsidP="00832A2F">
      <w:pPr>
        <w:rPr>
          <w:lang w:eastAsia="ja-JP"/>
        </w:rPr>
      </w:pPr>
      <w:proofErr w:type="gramStart"/>
      <w:r>
        <w:rPr>
          <w:lang w:eastAsia="ja-JP"/>
        </w:rPr>
        <w:t>Therefore</w:t>
      </w:r>
      <w:proofErr w:type="gramEnd"/>
      <w:r>
        <w:rPr>
          <w:lang w:eastAsia="ja-JP"/>
        </w:rPr>
        <w:t xml:space="preserve"> we propose to capture the following:</w:t>
      </w:r>
    </w:p>
    <w:p w14:paraId="01924813" w14:textId="20BAC839" w:rsidR="00832A2F" w:rsidRDefault="00832A2F" w:rsidP="00832A2F">
      <w:pPr>
        <w:pStyle w:val="RAN4proposal"/>
        <w:rPr>
          <w:lang w:eastAsia="ja-JP"/>
        </w:rPr>
      </w:pPr>
      <w:bookmarkStart w:id="13" w:name="_Toc181926921"/>
      <w:r>
        <w:rPr>
          <w:lang w:eastAsia="ja-JP"/>
        </w:rPr>
        <w:t xml:space="preserve">For </w:t>
      </w:r>
      <w:r w:rsidR="000578F8">
        <w:rPr>
          <w:lang w:eastAsia="ja-JP"/>
        </w:rPr>
        <w:t xml:space="preserve">the efficient channel usage criterion, capture that both numerologies can support 250 MHz </w:t>
      </w:r>
      <w:r w:rsidR="005C68DE">
        <w:rPr>
          <w:lang w:eastAsia="ja-JP"/>
        </w:rPr>
        <w:t xml:space="preserve">efficiently. For 125 MHz (aggregated UL BW), </w:t>
      </w:r>
      <w:r w:rsidR="00BD6D59">
        <w:rPr>
          <w:lang w:eastAsia="ja-JP"/>
        </w:rPr>
        <w:t>FR1-NTN has better efficiency which would lead only to 5 MHz of “unused” spectrum compared to 25 MHz of unused spectrum in FR2-NTN.</w:t>
      </w:r>
      <w:bookmarkEnd w:id="13"/>
    </w:p>
    <w:p w14:paraId="34A33DA7" w14:textId="77777777" w:rsidR="00A92648" w:rsidRPr="00A92648" w:rsidRDefault="00A92648" w:rsidP="00051BAF">
      <w:pPr>
        <w:rPr>
          <w:lang w:eastAsia="ja-JP"/>
        </w:rPr>
      </w:pPr>
    </w:p>
    <w:p w14:paraId="4E95DA82" w14:textId="2EEFFB0E" w:rsidR="009B4E19" w:rsidRDefault="009B4E19" w:rsidP="009B4E19">
      <w:pPr>
        <w:pStyle w:val="RAN4H3"/>
        <w:rPr>
          <w:lang w:eastAsia="ja-JP"/>
        </w:rPr>
      </w:pPr>
      <w:r>
        <w:rPr>
          <w:lang w:eastAsia="ja-JP"/>
        </w:rPr>
        <w:t>Beam Hopping</w:t>
      </w:r>
      <w:r w:rsidR="00744B22">
        <w:rPr>
          <w:lang w:eastAsia="ja-JP"/>
        </w:rPr>
        <w:t xml:space="preserve"> Granularity</w:t>
      </w:r>
    </w:p>
    <w:p w14:paraId="39E797E5" w14:textId="33A76B32" w:rsidR="006337C5" w:rsidRPr="00A858F3" w:rsidRDefault="006337C5" w:rsidP="00051BAF">
      <w:pPr>
        <w:rPr>
          <w:szCs w:val="20"/>
          <w:lang w:eastAsia="ja-JP"/>
        </w:rPr>
      </w:pPr>
      <w:r w:rsidRPr="00A858F3">
        <w:rPr>
          <w:szCs w:val="20"/>
          <w:lang w:eastAsia="ja-JP"/>
        </w:rPr>
        <w:t xml:space="preserve">Beam hopping granularity has been established as a technical aspect to be considered to influence the decision on the numerology to be adopted in the Ku band. </w:t>
      </w:r>
      <w:r w:rsidR="00004B9C" w:rsidRPr="00A858F3">
        <w:rPr>
          <w:szCs w:val="20"/>
          <w:lang w:eastAsia="ja-JP"/>
        </w:rPr>
        <w:t xml:space="preserve">Although such analysis was not considered critical, it could still have an impact over the decision. </w:t>
      </w:r>
    </w:p>
    <w:p w14:paraId="6729C108" w14:textId="76DF1589" w:rsidR="00004B9C" w:rsidRPr="00A858F3" w:rsidRDefault="00E36594" w:rsidP="00051BAF">
      <w:pPr>
        <w:rPr>
          <w:szCs w:val="20"/>
          <w:lang w:eastAsia="ja-JP"/>
        </w:rPr>
      </w:pPr>
      <w:r w:rsidRPr="00A858F3">
        <w:rPr>
          <w:szCs w:val="20"/>
          <w:lang w:eastAsia="ja-JP"/>
        </w:rPr>
        <w:t xml:space="preserve">This analysis is to be performed under the assumption </w:t>
      </w:r>
      <w:r w:rsidR="00755FD3" w:rsidRPr="00A858F3">
        <w:rPr>
          <w:szCs w:val="20"/>
          <w:lang w:eastAsia="ja-JP"/>
        </w:rPr>
        <w:t xml:space="preserve">that no extended periodicity of SSB (i.e. no enhancements on the beam hopping implementation) discussed in Rel-19 </w:t>
      </w:r>
      <w:r w:rsidR="00255859" w:rsidRPr="00A858F3">
        <w:rPr>
          <w:szCs w:val="20"/>
          <w:lang w:eastAsia="ja-JP"/>
        </w:rPr>
        <w:t xml:space="preserve">should be considered, only Rel-18 implementations. </w:t>
      </w:r>
    </w:p>
    <w:p w14:paraId="72E72E71" w14:textId="55EB1AD4" w:rsidR="00E26394" w:rsidRPr="00A858F3" w:rsidRDefault="00E26394" w:rsidP="00051BAF">
      <w:pPr>
        <w:rPr>
          <w:szCs w:val="20"/>
          <w:lang w:eastAsia="ja-JP"/>
        </w:rPr>
      </w:pPr>
      <w:r w:rsidRPr="00A858F3">
        <w:rPr>
          <w:szCs w:val="20"/>
          <w:lang w:eastAsia="ja-JP"/>
        </w:rPr>
        <w:t xml:space="preserve">In Rel-18, there is no cell DTX available, and one shall operate under the assumption that the cell is always active and transmitting a SSB every 20 </w:t>
      </w:r>
      <w:proofErr w:type="spellStart"/>
      <w:r w:rsidRPr="00A858F3">
        <w:rPr>
          <w:szCs w:val="20"/>
          <w:lang w:eastAsia="ja-JP"/>
        </w:rPr>
        <w:t>ms</w:t>
      </w:r>
      <w:proofErr w:type="spellEnd"/>
      <w:r w:rsidRPr="00A858F3">
        <w:rPr>
          <w:szCs w:val="20"/>
          <w:lang w:eastAsia="ja-JP"/>
        </w:rPr>
        <w:t xml:space="preserve">. In this sense, the “beam hopping” possibility allowed depends on the number of logical beams supported per cell in the specification. </w:t>
      </w:r>
    </w:p>
    <w:p w14:paraId="7C932D67" w14:textId="77777777" w:rsidR="00E26394" w:rsidRPr="00A858F3" w:rsidRDefault="00FE2F9F" w:rsidP="00051BAF">
      <w:pPr>
        <w:rPr>
          <w:szCs w:val="20"/>
          <w:lang w:eastAsia="ja-JP"/>
        </w:rPr>
      </w:pPr>
      <w:r w:rsidRPr="00A858F3">
        <w:rPr>
          <w:szCs w:val="20"/>
          <w:lang w:eastAsia="ja-JP"/>
        </w:rPr>
        <w:t xml:space="preserve">FR2-NTN would allow up to 64 beams per specification design, whereas FR1-NTN would reach a maximum of 8 beams. </w:t>
      </w:r>
    </w:p>
    <w:p w14:paraId="58249390" w14:textId="5F8EDB60" w:rsidR="00255859" w:rsidRPr="00A858F3" w:rsidRDefault="00E26394" w:rsidP="00051BAF">
      <w:pPr>
        <w:rPr>
          <w:szCs w:val="20"/>
          <w:lang w:eastAsia="ja-JP"/>
        </w:rPr>
      </w:pPr>
      <w:r w:rsidRPr="00A858F3">
        <w:rPr>
          <w:szCs w:val="20"/>
          <w:lang w:eastAsia="ja-JP"/>
        </w:rPr>
        <w:t xml:space="preserve">On the other hand, </w:t>
      </w:r>
      <w:r w:rsidR="000F75F4" w:rsidRPr="00A858F3">
        <w:rPr>
          <w:szCs w:val="20"/>
          <w:lang w:eastAsia="ja-JP"/>
        </w:rPr>
        <w:t xml:space="preserve">FR1-NTN would allow more flexibility for beam hopping </w:t>
      </w:r>
      <w:r w:rsidR="005C630F" w:rsidRPr="00A858F3">
        <w:rPr>
          <w:szCs w:val="20"/>
          <w:lang w:eastAsia="ja-JP"/>
        </w:rPr>
        <w:t>on the carrier domain,</w:t>
      </w:r>
      <w:r w:rsidR="00A97587" w:rsidRPr="00A858F3">
        <w:rPr>
          <w:szCs w:val="20"/>
          <w:lang w:eastAsia="ja-JP"/>
        </w:rPr>
        <w:t xml:space="preserve"> as it allows to split the available spectrum in smaller chunks (carriers) </w:t>
      </w:r>
      <w:r w:rsidR="003B23D6" w:rsidRPr="00A858F3">
        <w:rPr>
          <w:szCs w:val="20"/>
          <w:lang w:eastAsia="ja-JP"/>
        </w:rPr>
        <w:t xml:space="preserve">of bandwidth. Each carrier would be covered by a different logical cell, </w:t>
      </w:r>
      <w:r w:rsidR="00F175FC" w:rsidRPr="00A858F3">
        <w:rPr>
          <w:szCs w:val="20"/>
          <w:lang w:eastAsia="ja-JP"/>
        </w:rPr>
        <w:t xml:space="preserve">each with 8 beams on its own. This can mitigate the disparity </w:t>
      </w:r>
      <w:r w:rsidR="00A858F3" w:rsidRPr="00A858F3">
        <w:rPr>
          <w:szCs w:val="20"/>
          <w:lang w:eastAsia="ja-JP"/>
        </w:rPr>
        <w:t xml:space="preserve">between FR1-NTN and FR2-NTN. </w:t>
      </w:r>
    </w:p>
    <w:p w14:paraId="2E1F49CA" w14:textId="5B5878D2" w:rsidR="00FE744E" w:rsidRPr="00F26EB6" w:rsidRDefault="00FE744E" w:rsidP="00051BAF">
      <w:pPr>
        <w:rPr>
          <w:szCs w:val="20"/>
          <w:lang w:eastAsia="ja-JP"/>
        </w:rPr>
      </w:pPr>
      <w:proofErr w:type="gramStart"/>
      <w:r w:rsidRPr="00F26EB6">
        <w:rPr>
          <w:szCs w:val="20"/>
          <w:lang w:eastAsia="ja-JP"/>
        </w:rPr>
        <w:t>Therefore</w:t>
      </w:r>
      <w:proofErr w:type="gramEnd"/>
      <w:r w:rsidRPr="00F26EB6">
        <w:rPr>
          <w:szCs w:val="20"/>
          <w:lang w:eastAsia="ja-JP"/>
        </w:rPr>
        <w:t xml:space="preserve"> we propose:</w:t>
      </w:r>
    </w:p>
    <w:p w14:paraId="4DE959BF" w14:textId="40B1AE74" w:rsidR="00FE744E" w:rsidRDefault="00455873" w:rsidP="00E70F21">
      <w:pPr>
        <w:pStyle w:val="RAN4proposal"/>
        <w:rPr>
          <w:lang w:eastAsia="ja-JP"/>
        </w:rPr>
      </w:pPr>
      <w:bookmarkStart w:id="14" w:name="_Toc181926922"/>
      <w:r>
        <w:rPr>
          <w:lang w:eastAsia="ja-JP"/>
        </w:rPr>
        <w:t>For the beam hopping granularity, capture that FR2-N</w:t>
      </w:r>
      <w:r w:rsidR="00AF4D46">
        <w:rPr>
          <w:lang w:eastAsia="ja-JP"/>
        </w:rPr>
        <w:t>T</w:t>
      </w:r>
      <w:r>
        <w:rPr>
          <w:lang w:eastAsia="ja-JP"/>
        </w:rPr>
        <w:t xml:space="preserve">N would provide more flexibility with 64 available </w:t>
      </w:r>
      <w:r w:rsidR="00AF4D46">
        <w:rPr>
          <w:lang w:eastAsia="ja-JP"/>
        </w:rPr>
        <w:t>beams against 8 in FR1-NTN</w:t>
      </w:r>
      <w:r w:rsidR="00471778">
        <w:rPr>
          <w:lang w:eastAsia="ja-JP"/>
        </w:rPr>
        <w:t>.</w:t>
      </w:r>
      <w:bookmarkEnd w:id="14"/>
    </w:p>
    <w:p w14:paraId="7F988DF5" w14:textId="77777777" w:rsidR="00F26EB6" w:rsidRPr="00F26EB6" w:rsidRDefault="00F26EB6" w:rsidP="00051BAF">
      <w:pPr>
        <w:rPr>
          <w:lang w:eastAsia="ja-JP"/>
        </w:rPr>
      </w:pPr>
    </w:p>
    <w:p w14:paraId="6113CDAC" w14:textId="0BAABE97" w:rsidR="009B4E19" w:rsidRDefault="00F26EB6" w:rsidP="009B4E19">
      <w:pPr>
        <w:pStyle w:val="RAN4H3"/>
        <w:rPr>
          <w:lang w:eastAsia="ja-JP"/>
        </w:rPr>
      </w:pPr>
      <w:r>
        <w:rPr>
          <w:lang w:eastAsia="ja-JP"/>
        </w:rPr>
        <w:t>Link Budget</w:t>
      </w:r>
    </w:p>
    <w:p w14:paraId="4C6BF753" w14:textId="54386272" w:rsidR="00040BC4" w:rsidRPr="009E3E83" w:rsidRDefault="00BF1897" w:rsidP="00051BAF">
      <w:pPr>
        <w:rPr>
          <w:szCs w:val="20"/>
          <w:lang w:eastAsia="ja-JP"/>
        </w:rPr>
      </w:pPr>
      <w:r w:rsidRPr="009E3E83">
        <w:rPr>
          <w:szCs w:val="20"/>
          <w:lang w:eastAsia="ja-JP"/>
        </w:rPr>
        <w:t xml:space="preserve">Considering that most of the factors that influence the link budget (coupling losses, MCS, maximum transmit power, etc.) will not be altered by the choice of numerology, not much differentiation is expected between the link budget </w:t>
      </w:r>
      <w:r w:rsidR="000F50C8" w:rsidRPr="009E3E83">
        <w:rPr>
          <w:szCs w:val="20"/>
          <w:lang w:eastAsia="ja-JP"/>
        </w:rPr>
        <w:t>using FR1-NTN and FR2-NTN (the link budget is not altered by the SCS). However, some specific</w:t>
      </w:r>
      <w:r w:rsidR="00912A37" w:rsidRPr="009E3E83">
        <w:rPr>
          <w:szCs w:val="20"/>
          <w:lang w:eastAsia="ja-JP"/>
        </w:rPr>
        <w:t>ities of each numerology might be impactful</w:t>
      </w:r>
      <w:r w:rsidR="004E1CC5" w:rsidRPr="009E3E83">
        <w:rPr>
          <w:szCs w:val="20"/>
          <w:lang w:eastAsia="ja-JP"/>
        </w:rPr>
        <w:t xml:space="preserve"> for the link budget.</w:t>
      </w:r>
    </w:p>
    <w:p w14:paraId="1A4B1F65" w14:textId="12258F07" w:rsidR="00F26EB6" w:rsidRPr="009E3E83" w:rsidRDefault="004E1CC5" w:rsidP="00051BAF">
      <w:pPr>
        <w:rPr>
          <w:szCs w:val="20"/>
          <w:lang w:eastAsia="ja-JP"/>
        </w:rPr>
      </w:pPr>
      <w:r w:rsidRPr="009E3E83">
        <w:rPr>
          <w:szCs w:val="20"/>
          <w:lang w:eastAsia="ja-JP"/>
        </w:rPr>
        <w:t>For instance, FR2-NTN has the advantage that, in a single carrier scenario</w:t>
      </w:r>
      <w:r w:rsidR="00040BC4" w:rsidRPr="009E3E83">
        <w:rPr>
          <w:szCs w:val="20"/>
          <w:lang w:eastAsia="ja-JP"/>
        </w:rPr>
        <w:t xml:space="preserve">, the larger bandwidth provided in a single carrier would theoretically enable an increase in the “per UE throughput”. However, this is not a realistic assumption, as NTN </w:t>
      </w:r>
      <w:r w:rsidR="00AC5F27" w:rsidRPr="009E3E83">
        <w:rPr>
          <w:szCs w:val="20"/>
          <w:lang w:eastAsia="ja-JP"/>
        </w:rPr>
        <w:t>link budget is severely impacted by higher coupling losses due to very large distances of propagation</w:t>
      </w:r>
      <w:r w:rsidR="000B15D4" w:rsidRPr="009E3E83">
        <w:rPr>
          <w:szCs w:val="20"/>
          <w:lang w:eastAsia="ja-JP"/>
        </w:rPr>
        <w:t xml:space="preserve">, operating </w:t>
      </w:r>
      <w:r w:rsidR="000B15D4" w:rsidRPr="009E3E83">
        <w:rPr>
          <w:szCs w:val="20"/>
          <w:lang w:eastAsia="ja-JP"/>
        </w:rPr>
        <w:lastRenderedPageBreak/>
        <w:t xml:space="preserve">most of the time in a “power limited” region (not MCS limited). In UL is unlikely that any UE would benefit </w:t>
      </w:r>
      <w:proofErr w:type="gramStart"/>
      <w:r w:rsidR="000B15D4" w:rsidRPr="009E3E83">
        <w:rPr>
          <w:szCs w:val="20"/>
          <w:lang w:eastAsia="ja-JP"/>
        </w:rPr>
        <w:t xml:space="preserve">from </w:t>
      </w:r>
      <w:r w:rsidR="004B1B4D" w:rsidRPr="009E3E83">
        <w:rPr>
          <w:szCs w:val="20"/>
          <w:lang w:eastAsia="ja-JP"/>
        </w:rPr>
        <w:t xml:space="preserve"> a</w:t>
      </w:r>
      <w:proofErr w:type="gramEnd"/>
      <w:r w:rsidR="004B1B4D" w:rsidRPr="009E3E83">
        <w:rPr>
          <w:szCs w:val="20"/>
          <w:lang w:eastAsia="ja-JP"/>
        </w:rPr>
        <w:t xml:space="preserve"> full-bandwidth allocation, as the number of actual PRBs to be allocated per UE is rather small. Moreover, the </w:t>
      </w:r>
      <w:r w:rsidR="001151B4" w:rsidRPr="009E3E83">
        <w:rPr>
          <w:szCs w:val="20"/>
          <w:lang w:eastAsia="ja-JP"/>
        </w:rPr>
        <w:t xml:space="preserve">transmit timing error mentioned above will also impact the UL link budget, as the UEs will incur in poorer reception and more ISI due to time inaccuracies, therefore, it is unlikely that this will produce a significant throughput gain. </w:t>
      </w:r>
    </w:p>
    <w:p w14:paraId="5E92958C" w14:textId="45ECAA54" w:rsidR="001151B4" w:rsidRPr="009E3E83" w:rsidRDefault="001151B4" w:rsidP="00051BAF">
      <w:pPr>
        <w:rPr>
          <w:szCs w:val="20"/>
          <w:lang w:eastAsia="ja-JP"/>
        </w:rPr>
      </w:pPr>
      <w:r w:rsidRPr="009E3E83">
        <w:rPr>
          <w:szCs w:val="20"/>
          <w:lang w:eastAsia="ja-JP"/>
        </w:rPr>
        <w:t>On the other hand, if FR1-NTN numerology is adopted, the</w:t>
      </w:r>
      <w:r w:rsidR="00764E55" w:rsidRPr="009E3E83">
        <w:rPr>
          <w:szCs w:val="20"/>
          <w:lang w:eastAsia="ja-JP"/>
        </w:rPr>
        <w:t xml:space="preserve"> throughput conditions under very extreme propagation conditions </w:t>
      </w:r>
      <w:r w:rsidR="00A157B1" w:rsidRPr="009E3E83">
        <w:rPr>
          <w:szCs w:val="20"/>
          <w:lang w:eastAsia="ja-JP"/>
        </w:rPr>
        <w:t xml:space="preserve">will be improved, </w:t>
      </w:r>
      <w:r w:rsidR="007429F0" w:rsidRPr="009E3E83">
        <w:rPr>
          <w:szCs w:val="20"/>
          <w:lang w:eastAsia="ja-JP"/>
        </w:rPr>
        <w:t>as it allows for smaller and more robust bandwidth allocations</w:t>
      </w:r>
      <w:r w:rsidR="00A84BD1" w:rsidRPr="009E3E83">
        <w:rPr>
          <w:szCs w:val="20"/>
          <w:lang w:eastAsia="ja-JP"/>
        </w:rPr>
        <w:t xml:space="preserve">. This is a real advantage, </w:t>
      </w:r>
      <w:r w:rsidR="006D39A9" w:rsidRPr="009E3E83">
        <w:rPr>
          <w:szCs w:val="20"/>
          <w:lang w:eastAsia="ja-JP"/>
        </w:rPr>
        <w:t>especially</w:t>
      </w:r>
      <w:r w:rsidR="009873BC" w:rsidRPr="009E3E83">
        <w:rPr>
          <w:szCs w:val="20"/>
          <w:lang w:eastAsia="ja-JP"/>
        </w:rPr>
        <w:t xml:space="preserve"> considering the likelihood of NTN scenarios working under extreme </w:t>
      </w:r>
      <w:proofErr w:type="gramStart"/>
      <w:r w:rsidR="009873BC" w:rsidRPr="009E3E83">
        <w:rPr>
          <w:szCs w:val="20"/>
          <w:lang w:eastAsia="ja-JP"/>
        </w:rPr>
        <w:t xml:space="preserve">conditions, </w:t>
      </w:r>
      <w:r w:rsidR="00A84BD1" w:rsidRPr="009E3E83">
        <w:rPr>
          <w:szCs w:val="20"/>
          <w:lang w:eastAsia="ja-JP"/>
        </w:rPr>
        <w:t>but</w:t>
      </w:r>
      <w:proofErr w:type="gramEnd"/>
      <w:r w:rsidR="00A84BD1" w:rsidRPr="009E3E83">
        <w:rPr>
          <w:szCs w:val="20"/>
          <w:lang w:eastAsia="ja-JP"/>
        </w:rPr>
        <w:t xml:space="preserve"> may not be significative enough to decide the </w:t>
      </w:r>
      <w:r w:rsidR="009873BC" w:rsidRPr="009E3E83">
        <w:rPr>
          <w:szCs w:val="20"/>
          <w:lang w:eastAsia="ja-JP"/>
        </w:rPr>
        <w:t xml:space="preserve">analysis of the link budget aspect in </w:t>
      </w:r>
      <w:proofErr w:type="spellStart"/>
      <w:r w:rsidR="009873BC" w:rsidRPr="009E3E83">
        <w:rPr>
          <w:szCs w:val="20"/>
          <w:lang w:eastAsia="ja-JP"/>
        </w:rPr>
        <w:t>favor</w:t>
      </w:r>
      <w:proofErr w:type="spellEnd"/>
      <w:r w:rsidR="009873BC" w:rsidRPr="009E3E83">
        <w:rPr>
          <w:szCs w:val="20"/>
          <w:lang w:eastAsia="ja-JP"/>
        </w:rPr>
        <w:t xml:space="preserve"> of FR1-NTN. Therefore, we propose:</w:t>
      </w:r>
    </w:p>
    <w:p w14:paraId="6E4CE8EB" w14:textId="5D392B51" w:rsidR="009873BC" w:rsidRDefault="009873BC" w:rsidP="009873BC">
      <w:pPr>
        <w:pStyle w:val="RAN4proposal"/>
        <w:rPr>
          <w:lang w:eastAsia="ja-JP"/>
        </w:rPr>
      </w:pPr>
      <w:bookmarkStart w:id="15" w:name="_Toc181926923"/>
      <w:r>
        <w:rPr>
          <w:lang w:eastAsia="ja-JP"/>
        </w:rPr>
        <w:t>For the link budget analysis, capture that no numerology has a significant advantage over the other.</w:t>
      </w:r>
      <w:bookmarkEnd w:id="15"/>
      <w:r>
        <w:rPr>
          <w:lang w:eastAsia="ja-JP"/>
        </w:rPr>
        <w:t xml:space="preserve"> </w:t>
      </w:r>
    </w:p>
    <w:p w14:paraId="21E764ED" w14:textId="5FEF8104" w:rsidR="005B3FB1" w:rsidRPr="0061508D" w:rsidRDefault="005B3FB1" w:rsidP="0061508D">
      <w:pPr>
        <w:rPr>
          <w:lang w:val="en-US" w:eastAsia="ja-JP"/>
        </w:rPr>
      </w:pPr>
    </w:p>
    <w:p w14:paraId="31F7231A" w14:textId="77777777" w:rsidR="00CD7492" w:rsidRPr="00614DD8" w:rsidRDefault="00CD7492" w:rsidP="00A37002">
      <w:pPr>
        <w:pStyle w:val="RAN4H1"/>
        <w:rPr>
          <w:lang w:val="en-US"/>
        </w:rPr>
      </w:pPr>
      <w:bookmarkStart w:id="16" w:name="_Toc116995848"/>
      <w:r w:rsidRPr="00614DD8">
        <w:rPr>
          <w:lang w:val="en-US"/>
        </w:rPr>
        <w:t>Conclusion</w:t>
      </w:r>
      <w:bookmarkEnd w:id="16"/>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4FE586A3" w14:textId="603C5762" w:rsidR="0052296B"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1926916" w:history="1">
        <w:r w:rsidR="0052296B" w:rsidRPr="00D77132">
          <w:rPr>
            <w:rStyle w:val="Hyperlink"/>
            <w:b/>
            <w:bCs/>
            <w:noProof/>
            <w:lang w:val="en-US" w:eastAsia="ja-JP"/>
          </w:rPr>
          <w:t>Observation 1: For UL timing Synchronization, FR1-NTN is more robust to UE transmit timing inaccuracies, whereas ISI cannot be fully avoided in UL for FR2-NTN using 120 kHz SCS.</w:t>
        </w:r>
      </w:hyperlink>
    </w:p>
    <w:p w14:paraId="336AEE89" w14:textId="0EDC170E" w:rsidR="0052296B" w:rsidRDefault="00000000">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81926917" w:history="1">
        <w:r w:rsidR="0052296B" w:rsidRPr="00D77132">
          <w:rPr>
            <w:rStyle w:val="Hyperlink"/>
            <w:b/>
            <w:bCs/>
            <w:noProof/>
            <w:lang w:val="en-US" w:eastAsia="ja-JP"/>
          </w:rPr>
          <w:t>Observation 2: The maximum aggregate rate of pre-compensation enabled in FR2-NTN does not enable inflight connectivity, one of the exemplary use cases in this WID.</w:t>
        </w:r>
      </w:hyperlink>
    </w:p>
    <w:p w14:paraId="284DD703" w14:textId="72209628" w:rsidR="0052296B"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26918" w:history="1">
        <w:r w:rsidR="0052296B" w:rsidRPr="00D77132">
          <w:rPr>
            <w:rStyle w:val="Hyperlink"/>
            <w:noProof/>
            <w:lang w:val="en-US" w:eastAsia="ja-JP"/>
          </w:rPr>
          <w:t>Proposal 1: For the decision criteria related to UL timing synchronization, capture that FR1-NTN is more suitable whereas FR2-NTN cannot avoid ISI.</w:t>
        </w:r>
      </w:hyperlink>
    </w:p>
    <w:p w14:paraId="4D3E4E61" w14:textId="52FAF960" w:rsidR="0052296B"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26919" w:history="1">
        <w:r w:rsidR="0052296B" w:rsidRPr="00D77132">
          <w:rPr>
            <w:rStyle w:val="Hyperlink"/>
            <w:noProof/>
            <w:lang w:val="en-US" w:eastAsia="ja-JP"/>
          </w:rPr>
          <w:t>Proposal 2: For the decision criteria related to Phase Noise, capture that no significant differences were identified in the performance at FR1-NTN and FR2-NTN.</w:t>
        </w:r>
      </w:hyperlink>
    </w:p>
    <w:p w14:paraId="6A51B33B" w14:textId="39A34AF3" w:rsidR="0052296B" w:rsidRDefault="00000000">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81926920" w:history="1">
        <w:r w:rsidR="0052296B" w:rsidRPr="00D77132">
          <w:rPr>
            <w:rStyle w:val="Hyperlink"/>
            <w:b/>
            <w:bCs/>
            <w:noProof/>
            <w:lang w:eastAsia="ja-JP"/>
          </w:rPr>
          <w:t>Observation 3: Both numerologies can support 250 MHz efficiently, but for the UL BW (125 MHz), more unused spectrum is observed at FR2-NTN.</w:t>
        </w:r>
      </w:hyperlink>
    </w:p>
    <w:p w14:paraId="5B55D006" w14:textId="5247BA20" w:rsidR="0052296B"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26921" w:history="1">
        <w:r w:rsidR="0052296B" w:rsidRPr="00D77132">
          <w:rPr>
            <w:rStyle w:val="Hyperlink"/>
            <w:noProof/>
            <w:lang w:eastAsia="ja-JP"/>
          </w:rPr>
          <w:t>Proposal 3: For the efficient channel usage criterion, capture that both numerologies can support 250 MHz efficiently. For 125 MHz (aggregated UL BW), FR1-NTN has better efficiency which would lead only to 5 MHz of “unused” spectrum compared to 25 MHz of unused spectrum in FR2-NTN.</w:t>
        </w:r>
      </w:hyperlink>
    </w:p>
    <w:p w14:paraId="061A5E1C" w14:textId="66EA3C65" w:rsidR="0052296B"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26922" w:history="1">
        <w:r w:rsidR="0052296B" w:rsidRPr="00D77132">
          <w:rPr>
            <w:rStyle w:val="Hyperlink"/>
            <w:noProof/>
            <w:lang w:eastAsia="ja-JP"/>
          </w:rPr>
          <w:t>Proposal 4: For the beam hopping granularity, capture that FR2-NTN would provide more flexibility with 64 available beams against 8 in FR1-NTN.</w:t>
        </w:r>
      </w:hyperlink>
    </w:p>
    <w:p w14:paraId="3C99092D" w14:textId="20B723BB" w:rsidR="0052296B"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26923" w:history="1">
        <w:r w:rsidR="0052296B" w:rsidRPr="00D77132">
          <w:rPr>
            <w:rStyle w:val="Hyperlink"/>
            <w:noProof/>
            <w:lang w:eastAsia="ja-JP"/>
          </w:rPr>
          <w:t>Proposal 5: For the link budget analysis, capture that no numerology has a significant advantage over the other.</w:t>
        </w:r>
      </w:hyperlink>
    </w:p>
    <w:p w14:paraId="71BCE1E3" w14:textId="62643A2A" w:rsidR="00847264" w:rsidRPr="00614DD8" w:rsidRDefault="00B51C35" w:rsidP="008C39F7">
      <w:pPr>
        <w:rPr>
          <w:lang w:val="en-US"/>
        </w:rPr>
      </w:pPr>
      <w:r w:rsidRPr="00614DD8">
        <w:rPr>
          <w:lang w:val="en-US"/>
        </w:rPr>
        <w:fldChar w:fldCharType="end"/>
      </w:r>
      <w:bookmarkStart w:id="17"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73EE0639" w14:textId="16328761" w:rsidR="00D9052A" w:rsidRDefault="00D9052A" w:rsidP="00D9052A">
      <w:pPr>
        <w:pStyle w:val="ListParagraph"/>
        <w:numPr>
          <w:ilvl w:val="0"/>
          <w:numId w:val="21"/>
        </w:numPr>
        <w:ind w:right="-22"/>
        <w:rPr>
          <w:lang w:val="en-US"/>
        </w:rPr>
      </w:pPr>
      <w:bookmarkStart w:id="18" w:name="_Ref114500673"/>
      <w:bookmarkStart w:id="19" w:name="_Ref178263195"/>
      <w:bookmarkStart w:id="20" w:name="_Ref165543298"/>
      <w:bookmarkEnd w:id="18"/>
      <w:r w:rsidRPr="00614DD8">
        <w:rPr>
          <w:lang w:val="en-US"/>
        </w:rPr>
        <w:t>R</w:t>
      </w:r>
      <w:r>
        <w:rPr>
          <w:lang w:val="en-US"/>
        </w:rPr>
        <w:t>P</w:t>
      </w:r>
      <w:r w:rsidRPr="00614DD8">
        <w:rPr>
          <w:lang w:val="en-US"/>
        </w:rPr>
        <w:t>-</w:t>
      </w:r>
      <w:r>
        <w:rPr>
          <w:lang w:val="en-US"/>
        </w:rPr>
        <w:t>24</w:t>
      </w:r>
      <w:r w:rsidR="00BD3615">
        <w:rPr>
          <w:lang w:val="en-US"/>
        </w:rPr>
        <w:t>1690,</w:t>
      </w:r>
      <w:r w:rsidRPr="00614DD8">
        <w:rPr>
          <w:lang w:val="en-US"/>
        </w:rPr>
        <w:t xml:space="preserve"> </w:t>
      </w:r>
      <w:r w:rsidR="00BD3615" w:rsidRPr="00BD3615">
        <w:rPr>
          <w:lang w:val="en-US"/>
        </w:rPr>
        <w:t>New WID on Introduction of Ku Band for NR NTN</w:t>
      </w:r>
      <w:r w:rsidRPr="00614DD8">
        <w:rPr>
          <w:lang w:val="en-US"/>
        </w:rPr>
        <w:t>, RAN#10</w:t>
      </w:r>
      <w:r w:rsidR="00BD3615">
        <w:rPr>
          <w:lang w:val="en-US"/>
        </w:rPr>
        <w:t>4</w:t>
      </w:r>
      <w:r w:rsidRPr="00614DD8">
        <w:rPr>
          <w:lang w:val="en-US"/>
        </w:rPr>
        <w:t xml:space="preserve">, </w:t>
      </w:r>
      <w:r w:rsidR="00BD3615">
        <w:rPr>
          <w:lang w:val="en-US"/>
        </w:rPr>
        <w:t>Shanghai</w:t>
      </w:r>
      <w:r w:rsidRPr="00614DD8">
        <w:rPr>
          <w:lang w:val="en-US"/>
        </w:rPr>
        <w:t xml:space="preserve">, </w:t>
      </w:r>
      <w:r w:rsidR="00BD3615">
        <w:rPr>
          <w:lang w:val="en-US"/>
        </w:rPr>
        <w:t>China</w:t>
      </w:r>
      <w:r w:rsidRPr="00614DD8">
        <w:rPr>
          <w:lang w:val="en-US"/>
        </w:rPr>
        <w:t xml:space="preserve">, </w:t>
      </w:r>
      <w:r>
        <w:rPr>
          <w:lang w:val="en-US"/>
        </w:rPr>
        <w:t>1</w:t>
      </w:r>
      <w:r w:rsidR="00BD3615">
        <w:rPr>
          <w:lang w:val="en-US"/>
        </w:rPr>
        <w:t>7</w:t>
      </w:r>
      <w:r w:rsidRPr="00614DD8">
        <w:rPr>
          <w:lang w:val="en-US"/>
        </w:rPr>
        <w:t xml:space="preserve"> – 2</w:t>
      </w:r>
      <w:r w:rsidR="00BD3615">
        <w:rPr>
          <w:lang w:val="en-US"/>
        </w:rPr>
        <w:t>0</w:t>
      </w:r>
      <w:r w:rsidRPr="00614DD8">
        <w:rPr>
          <w:lang w:val="en-US"/>
        </w:rPr>
        <w:t xml:space="preserve"> </w:t>
      </w:r>
      <w:r w:rsidR="00BD3615">
        <w:rPr>
          <w:lang w:val="en-US"/>
        </w:rPr>
        <w:t>June</w:t>
      </w:r>
      <w:r w:rsidRPr="00614DD8">
        <w:rPr>
          <w:lang w:val="en-US"/>
        </w:rPr>
        <w:t xml:space="preserve"> 202</w:t>
      </w:r>
      <w:r w:rsidR="00BD3615">
        <w:rPr>
          <w:lang w:val="en-US"/>
        </w:rPr>
        <w:t>4</w:t>
      </w:r>
      <w:r w:rsidRPr="00614DD8">
        <w:rPr>
          <w:lang w:val="en-US"/>
        </w:rPr>
        <w:t>.</w:t>
      </w:r>
      <w:bookmarkEnd w:id="19"/>
    </w:p>
    <w:p w14:paraId="0D71AE20" w14:textId="39F74AC9" w:rsidR="00D9052A" w:rsidRDefault="00071CAC" w:rsidP="00BD13AD">
      <w:pPr>
        <w:pStyle w:val="ListParagraph"/>
        <w:numPr>
          <w:ilvl w:val="0"/>
          <w:numId w:val="21"/>
        </w:numPr>
        <w:spacing w:line="256" w:lineRule="auto"/>
        <w:ind w:right="-22"/>
        <w:rPr>
          <w:lang w:val="en-US"/>
        </w:rPr>
      </w:pPr>
      <w:bookmarkStart w:id="21" w:name="_Ref166227081"/>
      <w:r w:rsidRPr="00071CAC">
        <w:rPr>
          <w:lang w:val="en-US"/>
        </w:rPr>
        <w:t>TR 38.863</w:t>
      </w:r>
      <w:r w:rsidR="00D9052A" w:rsidRPr="00071CAC">
        <w:rPr>
          <w:lang w:val="en-US"/>
        </w:rPr>
        <w:t xml:space="preserve">, </w:t>
      </w:r>
      <w:r w:rsidRPr="00071CAC">
        <w:rPr>
          <w:lang w:val="en-US"/>
        </w:rPr>
        <w:t>Solutions for NR to support non-terrestrial networks (NTN):</w:t>
      </w:r>
      <w:r>
        <w:rPr>
          <w:lang w:val="en-US"/>
        </w:rPr>
        <w:t xml:space="preserve"> </w:t>
      </w:r>
      <w:r w:rsidRPr="00071CAC">
        <w:rPr>
          <w:lang w:val="en-US"/>
        </w:rPr>
        <w:t>Non-terrestrial networks (NTN) related RF and co-existence aspects</w:t>
      </w:r>
      <w:r w:rsidR="00D9052A" w:rsidRPr="00071CAC">
        <w:rPr>
          <w:lang w:val="en-US"/>
        </w:rPr>
        <w:t>.</w:t>
      </w:r>
      <w:bookmarkEnd w:id="20"/>
      <w:bookmarkEnd w:id="21"/>
    </w:p>
    <w:p w14:paraId="14539161" w14:textId="17F00A08" w:rsidR="00B01AD5" w:rsidRDefault="008C6B70" w:rsidP="00BD13AD">
      <w:pPr>
        <w:pStyle w:val="ListParagraph"/>
        <w:numPr>
          <w:ilvl w:val="0"/>
          <w:numId w:val="21"/>
        </w:numPr>
        <w:spacing w:line="256" w:lineRule="auto"/>
        <w:ind w:right="-22"/>
        <w:rPr>
          <w:lang w:val="en-US"/>
        </w:rPr>
      </w:pPr>
      <w:bookmarkStart w:id="22" w:name="_Ref178263294"/>
      <w:r w:rsidRPr="008C6B70">
        <w:rPr>
          <w:lang w:val="en-US"/>
        </w:rPr>
        <w:t>R4-2413414</w:t>
      </w:r>
      <w:r>
        <w:rPr>
          <w:rFonts w:hint="eastAsia"/>
          <w:lang w:val="en-US" w:eastAsia="ja-JP"/>
        </w:rPr>
        <w:t xml:space="preserve"> </w:t>
      </w:r>
      <w:r w:rsidRPr="008C6B70">
        <w:rPr>
          <w:lang w:val="en-US"/>
        </w:rPr>
        <w:t xml:space="preserve">Topic summary for [112][314] </w:t>
      </w:r>
      <w:proofErr w:type="spellStart"/>
      <w:r w:rsidRPr="008C6B70">
        <w:rPr>
          <w:lang w:val="en-US"/>
        </w:rPr>
        <w:t>NR_NTN_Ku_Band_General</w:t>
      </w:r>
      <w:proofErr w:type="spellEnd"/>
      <w:r>
        <w:rPr>
          <w:rFonts w:hint="eastAsia"/>
          <w:lang w:val="en-US" w:eastAsia="ja-JP"/>
        </w:rPr>
        <w:t>, RAN4#112</w:t>
      </w:r>
      <w:bookmarkEnd w:id="22"/>
    </w:p>
    <w:p w14:paraId="17735874" w14:textId="77777777" w:rsidR="0064743D" w:rsidRDefault="0064743D" w:rsidP="0064743D">
      <w:pPr>
        <w:pStyle w:val="ListParagraph"/>
        <w:numPr>
          <w:ilvl w:val="0"/>
          <w:numId w:val="21"/>
        </w:numPr>
        <w:spacing w:line="256" w:lineRule="auto"/>
        <w:ind w:right="-22"/>
        <w:rPr>
          <w:lang w:val="en-US"/>
        </w:rPr>
      </w:pPr>
      <w:bookmarkStart w:id="23" w:name="_Ref178263297"/>
      <w:r w:rsidRPr="00EC7A8A">
        <w:rPr>
          <w:lang w:val="en-US"/>
        </w:rPr>
        <w:t>R4-2413520</w:t>
      </w:r>
      <w:r>
        <w:rPr>
          <w:rFonts w:hint="eastAsia"/>
          <w:lang w:val="en-US" w:eastAsia="ja-JP"/>
        </w:rPr>
        <w:t xml:space="preserve"> </w:t>
      </w:r>
      <w:r w:rsidRPr="00EC7A8A">
        <w:rPr>
          <w:lang w:val="en-US"/>
        </w:rPr>
        <w:t xml:space="preserve">Ad-hoc meeting minutes for [112][314] </w:t>
      </w:r>
      <w:proofErr w:type="spellStart"/>
      <w:r w:rsidRPr="00EC7A8A">
        <w:rPr>
          <w:lang w:val="en-US"/>
        </w:rPr>
        <w:t>NR_NTN_Ku_Band_General</w:t>
      </w:r>
      <w:proofErr w:type="spellEnd"/>
      <w:r>
        <w:rPr>
          <w:rFonts w:hint="eastAsia"/>
          <w:lang w:val="en-US" w:eastAsia="ja-JP"/>
        </w:rPr>
        <w:t>, RAN4#112</w:t>
      </w:r>
      <w:bookmarkEnd w:id="23"/>
    </w:p>
    <w:p w14:paraId="51F80DB1" w14:textId="009089E8" w:rsidR="00BF06EA" w:rsidRPr="00BF06EA" w:rsidRDefault="00EC7A8A" w:rsidP="00BF06EA">
      <w:pPr>
        <w:pStyle w:val="ListParagraph"/>
        <w:numPr>
          <w:ilvl w:val="0"/>
          <w:numId w:val="21"/>
        </w:numPr>
        <w:spacing w:line="256" w:lineRule="auto"/>
        <w:ind w:right="-22"/>
        <w:rPr>
          <w:lang w:val="en-US"/>
        </w:rPr>
      </w:pPr>
      <w:bookmarkStart w:id="24" w:name="_Ref178263359"/>
      <w:r w:rsidRPr="00EC7A8A">
        <w:rPr>
          <w:lang w:val="en-US"/>
        </w:rPr>
        <w:t>R4-2413519</w:t>
      </w:r>
      <w:r>
        <w:rPr>
          <w:rFonts w:hint="eastAsia"/>
          <w:lang w:val="en-US" w:eastAsia="ja-JP"/>
        </w:rPr>
        <w:t xml:space="preserve"> </w:t>
      </w:r>
      <w:r w:rsidRPr="00EC7A8A">
        <w:rPr>
          <w:lang w:val="en-US"/>
        </w:rPr>
        <w:t xml:space="preserve">Way Forward for [112][314] </w:t>
      </w:r>
      <w:proofErr w:type="spellStart"/>
      <w:r w:rsidRPr="00EC7A8A">
        <w:rPr>
          <w:lang w:val="en-US"/>
        </w:rPr>
        <w:t>NR_NTN_Ku_Band_General</w:t>
      </w:r>
      <w:proofErr w:type="spellEnd"/>
      <w:r>
        <w:rPr>
          <w:rFonts w:hint="eastAsia"/>
          <w:lang w:val="en-US" w:eastAsia="ja-JP"/>
        </w:rPr>
        <w:t>, RAN4#112</w:t>
      </w:r>
      <w:bookmarkEnd w:id="24"/>
    </w:p>
    <w:p w14:paraId="4778987D" w14:textId="0C568804" w:rsidR="00BF06EA" w:rsidRDefault="00BF06EA" w:rsidP="00BF06EA">
      <w:pPr>
        <w:pStyle w:val="ListParagraph"/>
        <w:numPr>
          <w:ilvl w:val="0"/>
          <w:numId w:val="21"/>
        </w:numPr>
        <w:spacing w:line="256" w:lineRule="auto"/>
        <w:ind w:right="-22"/>
        <w:rPr>
          <w:lang w:val="en-US"/>
        </w:rPr>
      </w:pPr>
      <w:bookmarkStart w:id="25" w:name="_Ref181638568"/>
      <w:r w:rsidRPr="00347E68">
        <w:rPr>
          <w:lang w:val="en-US"/>
        </w:rPr>
        <w:t>R4-2416593</w:t>
      </w:r>
      <w:r>
        <w:rPr>
          <w:lang w:val="en-US"/>
        </w:rPr>
        <w:t xml:space="preserve"> </w:t>
      </w:r>
      <w:r w:rsidRPr="00347E68">
        <w:rPr>
          <w:lang w:val="en-US"/>
        </w:rPr>
        <w:t xml:space="preserve">Way Forward for [112bis][313] </w:t>
      </w:r>
      <w:proofErr w:type="spellStart"/>
      <w:r w:rsidRPr="00347E68">
        <w:rPr>
          <w:lang w:val="en-US"/>
        </w:rPr>
        <w:t>NR_NTN_Ku_Band_General</w:t>
      </w:r>
      <w:proofErr w:type="spellEnd"/>
      <w:r>
        <w:rPr>
          <w:lang w:val="en-US"/>
        </w:rPr>
        <w:t>, RAN4 #112 bis</w:t>
      </w:r>
      <w:bookmarkEnd w:id="25"/>
    </w:p>
    <w:p w14:paraId="3E1653B7" w14:textId="0F6536D3" w:rsidR="00914F0B" w:rsidRDefault="00914F0B" w:rsidP="00BF06EA">
      <w:pPr>
        <w:pStyle w:val="ListParagraph"/>
        <w:numPr>
          <w:ilvl w:val="0"/>
          <w:numId w:val="21"/>
        </w:numPr>
        <w:spacing w:line="256" w:lineRule="auto"/>
        <w:ind w:right="-22"/>
        <w:rPr>
          <w:lang w:val="en-US"/>
        </w:rPr>
      </w:pPr>
      <w:r>
        <w:rPr>
          <w:lang w:val="en-US"/>
        </w:rPr>
        <w:t>TS 38.133</w:t>
      </w:r>
      <w:r w:rsidR="00DA655B">
        <w:rPr>
          <w:lang w:val="en-US"/>
        </w:rPr>
        <w:t xml:space="preserve"> “</w:t>
      </w:r>
      <w:r w:rsidR="00DA655B" w:rsidRPr="00DA655B">
        <w:t>NR; Requirements for support of radio resource management</w:t>
      </w:r>
      <w:r w:rsidR="00DA655B">
        <w:rPr>
          <w:lang w:val="en-US"/>
        </w:rPr>
        <w:t>”, 3GPP, Release 18.7.0</w:t>
      </w:r>
    </w:p>
    <w:p w14:paraId="01C57F62" w14:textId="7C6A47CE" w:rsidR="00741D19" w:rsidRDefault="00B1217E" w:rsidP="00BF06EA">
      <w:pPr>
        <w:pStyle w:val="ListParagraph"/>
        <w:numPr>
          <w:ilvl w:val="0"/>
          <w:numId w:val="21"/>
        </w:numPr>
        <w:spacing w:line="256" w:lineRule="auto"/>
        <w:ind w:right="-22"/>
        <w:rPr>
          <w:lang w:val="en-US"/>
        </w:rPr>
      </w:pPr>
      <w:bookmarkStart w:id="26" w:name="_Ref181642395"/>
      <w:r w:rsidRPr="00B1217E">
        <w:rPr>
          <w:lang w:val="en-US"/>
        </w:rPr>
        <w:t>R4-1911831</w:t>
      </w:r>
      <w:r>
        <w:rPr>
          <w:lang w:val="en-US"/>
        </w:rPr>
        <w:t>, “</w:t>
      </w:r>
      <w:r w:rsidR="00457305" w:rsidRPr="00051BAF">
        <w:rPr>
          <w:rFonts w:cs="Times New Roman"/>
        </w:rPr>
        <w:t>Discussion on parameterized phase noise model for example frequencies in 7-24 GHz</w:t>
      </w:r>
      <w:r>
        <w:rPr>
          <w:lang w:val="en-US"/>
        </w:rPr>
        <w:t>”</w:t>
      </w:r>
      <w:r w:rsidR="00457305">
        <w:rPr>
          <w:lang w:val="en-US"/>
        </w:rPr>
        <w:t xml:space="preserve">, Ericsson, </w:t>
      </w:r>
      <w:r w:rsidR="00896019">
        <w:rPr>
          <w:lang w:val="en-US"/>
        </w:rPr>
        <w:t xml:space="preserve">RAN4 #92bis, </w:t>
      </w:r>
      <w:r w:rsidR="00896019" w:rsidRPr="00896019">
        <w:rPr>
          <w:lang w:val="en-US"/>
        </w:rPr>
        <w:t>Chongqing, China</w:t>
      </w:r>
      <w:bookmarkEnd w:id="26"/>
    </w:p>
    <w:p w14:paraId="4B197304" w14:textId="09B3301D" w:rsidR="00896019" w:rsidRDefault="00004EF1" w:rsidP="00BF06EA">
      <w:pPr>
        <w:pStyle w:val="ListParagraph"/>
        <w:numPr>
          <w:ilvl w:val="0"/>
          <w:numId w:val="21"/>
        </w:numPr>
        <w:spacing w:line="256" w:lineRule="auto"/>
        <w:ind w:right="-22"/>
        <w:rPr>
          <w:lang w:val="en-US"/>
        </w:rPr>
      </w:pPr>
      <w:bookmarkStart w:id="27" w:name="_Ref181642396"/>
      <w:r w:rsidRPr="00004EF1">
        <w:rPr>
          <w:lang w:val="en-US"/>
        </w:rPr>
        <w:t>R4-2415823</w:t>
      </w:r>
      <w:r>
        <w:rPr>
          <w:lang w:val="en-US"/>
        </w:rPr>
        <w:t xml:space="preserve">, </w:t>
      </w:r>
      <w:r w:rsidR="00875C0E">
        <w:rPr>
          <w:lang w:val="en-US"/>
        </w:rPr>
        <w:t>“</w:t>
      </w:r>
      <w:r w:rsidR="008811AD" w:rsidRPr="008811AD">
        <w:rPr>
          <w:lang w:val="en-US"/>
        </w:rPr>
        <w:t xml:space="preserve">Discussion on system parameters for NR NTN Ku band </w:t>
      </w:r>
      <w:r w:rsidR="008811AD">
        <w:rPr>
          <w:lang w:val="en-US"/>
        </w:rPr>
        <w:t xml:space="preserve">“, </w:t>
      </w:r>
      <w:r w:rsidR="00875C0E" w:rsidRPr="00875C0E">
        <w:rPr>
          <w:lang w:val="en-US"/>
        </w:rPr>
        <w:t xml:space="preserve">ZTE Corporation, </w:t>
      </w:r>
      <w:proofErr w:type="spellStart"/>
      <w:r w:rsidR="00875C0E" w:rsidRPr="00875C0E">
        <w:rPr>
          <w:lang w:val="en-US"/>
        </w:rPr>
        <w:t>Sanechips</w:t>
      </w:r>
      <w:proofErr w:type="spellEnd"/>
      <w:r w:rsidR="00875C0E">
        <w:rPr>
          <w:lang w:val="en-US"/>
        </w:rPr>
        <w:t>,</w:t>
      </w:r>
      <w:r w:rsidR="008811AD">
        <w:rPr>
          <w:lang w:val="en-US"/>
        </w:rPr>
        <w:t xml:space="preserve"> RAN4 #112bis, </w:t>
      </w:r>
      <w:r w:rsidR="00875C0E">
        <w:rPr>
          <w:lang w:val="en-US"/>
        </w:rPr>
        <w:t xml:space="preserve"> </w:t>
      </w:r>
      <w:r w:rsidR="00335D49" w:rsidRPr="00335D49">
        <w:rPr>
          <w:lang w:val="en-US"/>
        </w:rPr>
        <w:t>Hefei, China</w:t>
      </w:r>
      <w:bookmarkEnd w:id="27"/>
    </w:p>
    <w:p w14:paraId="3029F271" w14:textId="77777777" w:rsidR="0090668F" w:rsidRDefault="00084026" w:rsidP="0090668F">
      <w:pPr>
        <w:pStyle w:val="ListParagraph"/>
        <w:numPr>
          <w:ilvl w:val="0"/>
          <w:numId w:val="21"/>
        </w:numPr>
        <w:spacing w:line="256" w:lineRule="auto"/>
        <w:ind w:right="-22"/>
        <w:rPr>
          <w:lang w:val="en-US"/>
        </w:rPr>
      </w:pPr>
      <w:bookmarkStart w:id="28" w:name="_Ref181642405"/>
      <w:r w:rsidRPr="0090668F">
        <w:rPr>
          <w:lang w:val="en-US"/>
        </w:rPr>
        <w:t xml:space="preserve">R4-2416141, </w:t>
      </w:r>
      <w:r w:rsidR="0090668F" w:rsidRPr="0090668F">
        <w:rPr>
          <w:lang w:val="en-US"/>
        </w:rPr>
        <w:t xml:space="preserve">“NTN Ku-band – FR1-TN vs FR2-TN”, </w:t>
      </w:r>
      <w:r w:rsidR="0090668F" w:rsidRPr="00051BAF">
        <w:rPr>
          <w:lang w:val="en-US"/>
        </w:rPr>
        <w:t>Erics</w:t>
      </w:r>
      <w:r w:rsidR="0090668F">
        <w:rPr>
          <w:lang w:val="en-US"/>
        </w:rPr>
        <w:t xml:space="preserve">son, RAN4 #112bis,  </w:t>
      </w:r>
      <w:r w:rsidR="0090668F" w:rsidRPr="00335D49">
        <w:rPr>
          <w:lang w:val="en-US"/>
        </w:rPr>
        <w:t>Hefei, China</w:t>
      </w:r>
      <w:bookmarkEnd w:id="28"/>
    </w:p>
    <w:p w14:paraId="695F7FDD" w14:textId="77777777" w:rsidR="00723B63" w:rsidRDefault="00C521A5" w:rsidP="00723B63">
      <w:pPr>
        <w:pStyle w:val="ListParagraph"/>
        <w:numPr>
          <w:ilvl w:val="0"/>
          <w:numId w:val="21"/>
        </w:numPr>
        <w:spacing w:line="256" w:lineRule="auto"/>
        <w:ind w:right="-22"/>
        <w:rPr>
          <w:lang w:val="en-US"/>
        </w:rPr>
      </w:pPr>
      <w:bookmarkStart w:id="29" w:name="_Ref181643141"/>
      <w:r w:rsidRPr="00C521A5">
        <w:rPr>
          <w:lang w:val="en-US"/>
        </w:rPr>
        <w:t>R4-2415284</w:t>
      </w:r>
      <w:r>
        <w:rPr>
          <w:lang w:val="en-US"/>
        </w:rPr>
        <w:t>, “</w:t>
      </w:r>
      <w:r w:rsidR="00321C3D" w:rsidRPr="00321C3D">
        <w:rPr>
          <w:bCs/>
        </w:rPr>
        <w:t>Feasibility analysis of FR1 and FR2 Numerology</w:t>
      </w:r>
      <w:r w:rsidR="00321C3D">
        <w:rPr>
          <w:bCs/>
        </w:rPr>
        <w:t>”,</w:t>
      </w:r>
      <w:r w:rsidR="007D0174">
        <w:rPr>
          <w:bCs/>
        </w:rPr>
        <w:t xml:space="preserve"> Eutelsat Group, </w:t>
      </w:r>
      <w:r w:rsidR="00321C3D">
        <w:rPr>
          <w:bCs/>
        </w:rPr>
        <w:t xml:space="preserve"> </w:t>
      </w:r>
      <w:r w:rsidR="00723B63">
        <w:rPr>
          <w:lang w:val="en-US"/>
        </w:rPr>
        <w:t xml:space="preserve">RAN4 #112bis,  </w:t>
      </w:r>
      <w:r w:rsidR="00723B63" w:rsidRPr="00335D49">
        <w:rPr>
          <w:lang w:val="en-US"/>
        </w:rPr>
        <w:t>Hefei, China</w:t>
      </w:r>
      <w:bookmarkEnd w:id="29"/>
    </w:p>
    <w:p w14:paraId="4C04EC03" w14:textId="48B5B797" w:rsidR="00335D49" w:rsidRPr="00051BAF" w:rsidRDefault="004F762D" w:rsidP="00321C3D">
      <w:pPr>
        <w:pStyle w:val="ListParagraph"/>
        <w:numPr>
          <w:ilvl w:val="0"/>
          <w:numId w:val="21"/>
        </w:numPr>
        <w:spacing w:line="256" w:lineRule="auto"/>
        <w:ind w:right="-22"/>
      </w:pPr>
      <w:r w:rsidRPr="004F762D">
        <w:t>R4-2313986</w:t>
      </w:r>
      <w:r w:rsidR="008C3D79">
        <w:t>, “</w:t>
      </w:r>
      <w:r w:rsidR="008C3D79" w:rsidRPr="008C3D79">
        <w:t>Collected calibration results for NTN co-existence study</w:t>
      </w:r>
      <w:r w:rsidR="008C3D79">
        <w:t xml:space="preserve">”, Samsung, </w:t>
      </w:r>
      <w:r w:rsidR="00C4236E" w:rsidRPr="00C4236E">
        <w:t>RAN WG4 Meeting # 108</w:t>
      </w:r>
      <w:r w:rsidR="00C4236E" w:rsidRPr="00C4236E">
        <w:tab/>
      </w:r>
      <w:r w:rsidR="00C4236E">
        <w:t xml:space="preserve">, Toulouse, France. </w:t>
      </w:r>
    </w:p>
    <w:p w14:paraId="6F27C8D9" w14:textId="77777777" w:rsidR="0064743D" w:rsidRDefault="0064743D" w:rsidP="0064743D">
      <w:pPr>
        <w:pStyle w:val="ListParagraph"/>
        <w:numPr>
          <w:ilvl w:val="0"/>
          <w:numId w:val="21"/>
        </w:numPr>
        <w:spacing w:line="256" w:lineRule="auto"/>
        <w:ind w:right="-22"/>
        <w:rPr>
          <w:lang w:val="en-US"/>
        </w:rPr>
      </w:pPr>
      <w:r w:rsidRPr="00EC7A8A">
        <w:rPr>
          <w:lang w:val="en-US"/>
        </w:rPr>
        <w:lastRenderedPageBreak/>
        <w:t>R4-2411950</w:t>
      </w:r>
      <w:r>
        <w:rPr>
          <w:rFonts w:hint="eastAsia"/>
          <w:lang w:val="en-US" w:eastAsia="ja-JP"/>
        </w:rPr>
        <w:t xml:space="preserve"> </w:t>
      </w:r>
      <w:r w:rsidRPr="00EC7A8A">
        <w:rPr>
          <w:lang w:val="en-US" w:eastAsia="ja-JP"/>
        </w:rPr>
        <w:t>Discussion on NR NTN system parameters for Ku band</w:t>
      </w:r>
      <w:r>
        <w:rPr>
          <w:rFonts w:hint="eastAsia"/>
          <w:lang w:val="en-US" w:eastAsia="ja-JP"/>
        </w:rPr>
        <w:t>, Nokia, RAN4#112</w:t>
      </w:r>
    </w:p>
    <w:p w14:paraId="0DB83722" w14:textId="77777777" w:rsidR="0064743D" w:rsidRPr="005C6A01" w:rsidRDefault="0064743D" w:rsidP="005C6A01">
      <w:pPr>
        <w:spacing w:line="256" w:lineRule="auto"/>
        <w:ind w:right="-22"/>
        <w:rPr>
          <w:lang w:val="en-US"/>
        </w:rPr>
      </w:pPr>
    </w:p>
    <w:sectPr w:rsidR="0064743D" w:rsidRPr="005C6A0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97784" w14:textId="77777777" w:rsidR="00A92661" w:rsidRDefault="00A92661" w:rsidP="00001C9B">
      <w:pPr>
        <w:spacing w:after="0" w:line="240" w:lineRule="auto"/>
      </w:pPr>
      <w:r>
        <w:separator/>
      </w:r>
    </w:p>
  </w:endnote>
  <w:endnote w:type="continuationSeparator" w:id="0">
    <w:p w14:paraId="63EEB13B" w14:textId="77777777" w:rsidR="00A92661" w:rsidRDefault="00A92661" w:rsidP="00001C9B">
      <w:pPr>
        <w:spacing w:after="0" w:line="240" w:lineRule="auto"/>
      </w:pPr>
      <w:r>
        <w:continuationSeparator/>
      </w:r>
    </w:p>
  </w:endnote>
  <w:endnote w:type="continuationNotice" w:id="1">
    <w:p w14:paraId="6D81B97B" w14:textId="77777777" w:rsidR="00A92661" w:rsidRDefault="00A926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738AE" w14:textId="77777777" w:rsidR="00A92661" w:rsidRDefault="00A92661" w:rsidP="00001C9B">
      <w:pPr>
        <w:spacing w:after="0" w:line="240" w:lineRule="auto"/>
      </w:pPr>
      <w:r>
        <w:separator/>
      </w:r>
    </w:p>
  </w:footnote>
  <w:footnote w:type="continuationSeparator" w:id="0">
    <w:p w14:paraId="696659FE" w14:textId="77777777" w:rsidR="00A92661" w:rsidRDefault="00A92661" w:rsidP="00001C9B">
      <w:pPr>
        <w:spacing w:after="0" w:line="240" w:lineRule="auto"/>
      </w:pPr>
      <w:r>
        <w:continuationSeparator/>
      </w:r>
    </w:p>
  </w:footnote>
  <w:footnote w:type="continuationNotice" w:id="1">
    <w:p w14:paraId="45991379" w14:textId="77777777" w:rsidR="00A92661" w:rsidRDefault="00A926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E25F80"/>
    <w:multiLevelType w:val="hybridMultilevel"/>
    <w:tmpl w:val="4ABC71B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9"/>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2"/>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5"/>
  </w:num>
  <w:num w:numId="28" w16cid:durableId="411775096">
    <w:abstractNumId w:val="21"/>
  </w:num>
  <w:num w:numId="29" w16cid:durableId="1049035517">
    <w:abstractNumId w:val="8"/>
  </w:num>
  <w:num w:numId="30" w16cid:durableId="1508253574">
    <w:abstractNumId w:val="9"/>
  </w:num>
  <w:num w:numId="31" w16cid:durableId="1061832381">
    <w:abstractNumId w:val="18"/>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3"/>
  </w:num>
  <w:num w:numId="34" w16cid:durableId="1737971265">
    <w:abstractNumId w:val="4"/>
  </w:num>
  <w:num w:numId="35" w16cid:durableId="1302882497">
    <w:abstractNumId w:val="17"/>
  </w:num>
  <w:num w:numId="36" w16cid:durableId="143090286">
    <w:abstractNumId w:val="24"/>
  </w:num>
  <w:num w:numId="37" w16cid:durableId="642584564">
    <w:abstractNumId w:val="20"/>
  </w:num>
  <w:num w:numId="38" w16cid:durableId="1558931934">
    <w:abstractNumId w:val="20"/>
  </w:num>
  <w:num w:numId="39" w16cid:durableId="1859346118">
    <w:abstractNumId w:val="3"/>
  </w:num>
  <w:num w:numId="40" w16cid:durableId="1824856723">
    <w:abstractNumId w:val="14"/>
  </w:num>
  <w:num w:numId="41" w16cid:durableId="12641905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4B9C"/>
    <w:rsid w:val="00004EF1"/>
    <w:rsid w:val="00005926"/>
    <w:rsid w:val="00011784"/>
    <w:rsid w:val="00013304"/>
    <w:rsid w:val="000151EF"/>
    <w:rsid w:val="000239F5"/>
    <w:rsid w:val="00030D12"/>
    <w:rsid w:val="00034535"/>
    <w:rsid w:val="00040BC4"/>
    <w:rsid w:val="00051BAF"/>
    <w:rsid w:val="00054B9B"/>
    <w:rsid w:val="00054F7C"/>
    <w:rsid w:val="00055476"/>
    <w:rsid w:val="000578F8"/>
    <w:rsid w:val="00067893"/>
    <w:rsid w:val="00071CAC"/>
    <w:rsid w:val="00072CCA"/>
    <w:rsid w:val="000763AA"/>
    <w:rsid w:val="00084026"/>
    <w:rsid w:val="0008612A"/>
    <w:rsid w:val="00090E18"/>
    <w:rsid w:val="00096E0E"/>
    <w:rsid w:val="000A10BC"/>
    <w:rsid w:val="000A7F53"/>
    <w:rsid w:val="000B0007"/>
    <w:rsid w:val="000B0056"/>
    <w:rsid w:val="000B15D4"/>
    <w:rsid w:val="000B387A"/>
    <w:rsid w:val="000B6504"/>
    <w:rsid w:val="000C0703"/>
    <w:rsid w:val="000C2E56"/>
    <w:rsid w:val="000C3C7B"/>
    <w:rsid w:val="000C5225"/>
    <w:rsid w:val="000D0F93"/>
    <w:rsid w:val="000D666B"/>
    <w:rsid w:val="000E009C"/>
    <w:rsid w:val="000F2E09"/>
    <w:rsid w:val="000F50C8"/>
    <w:rsid w:val="000F75F4"/>
    <w:rsid w:val="0010107E"/>
    <w:rsid w:val="00106416"/>
    <w:rsid w:val="00110481"/>
    <w:rsid w:val="001127C9"/>
    <w:rsid w:val="00114498"/>
    <w:rsid w:val="001146CA"/>
    <w:rsid w:val="001151B4"/>
    <w:rsid w:val="00115B88"/>
    <w:rsid w:val="0012205B"/>
    <w:rsid w:val="001242C7"/>
    <w:rsid w:val="00125030"/>
    <w:rsid w:val="00127173"/>
    <w:rsid w:val="00132F6A"/>
    <w:rsid w:val="00133913"/>
    <w:rsid w:val="00137D08"/>
    <w:rsid w:val="00140221"/>
    <w:rsid w:val="0014074E"/>
    <w:rsid w:val="0015015C"/>
    <w:rsid w:val="001519D8"/>
    <w:rsid w:val="0015510D"/>
    <w:rsid w:val="00156DAC"/>
    <w:rsid w:val="001642FC"/>
    <w:rsid w:val="0016496B"/>
    <w:rsid w:val="001662FD"/>
    <w:rsid w:val="00167E2F"/>
    <w:rsid w:val="00172B3A"/>
    <w:rsid w:val="001743E2"/>
    <w:rsid w:val="0017456C"/>
    <w:rsid w:val="001745F8"/>
    <w:rsid w:val="001838CF"/>
    <w:rsid w:val="001868EE"/>
    <w:rsid w:val="00191443"/>
    <w:rsid w:val="00193A5A"/>
    <w:rsid w:val="00195418"/>
    <w:rsid w:val="001A3BA4"/>
    <w:rsid w:val="001A6D1F"/>
    <w:rsid w:val="001A7C64"/>
    <w:rsid w:val="001B0672"/>
    <w:rsid w:val="001B1EA8"/>
    <w:rsid w:val="001D696C"/>
    <w:rsid w:val="001E30F6"/>
    <w:rsid w:val="001F4680"/>
    <w:rsid w:val="00201AD0"/>
    <w:rsid w:val="00204AA4"/>
    <w:rsid w:val="0020657A"/>
    <w:rsid w:val="00217EE5"/>
    <w:rsid w:val="00220DA0"/>
    <w:rsid w:val="00224EC1"/>
    <w:rsid w:val="00225B34"/>
    <w:rsid w:val="0022790E"/>
    <w:rsid w:val="00235F5C"/>
    <w:rsid w:val="00246218"/>
    <w:rsid w:val="002530CD"/>
    <w:rsid w:val="00255859"/>
    <w:rsid w:val="00257FA3"/>
    <w:rsid w:val="002617A4"/>
    <w:rsid w:val="00266645"/>
    <w:rsid w:val="00275B1E"/>
    <w:rsid w:val="00277B56"/>
    <w:rsid w:val="00277BEC"/>
    <w:rsid w:val="00282A74"/>
    <w:rsid w:val="002849D4"/>
    <w:rsid w:val="002943ED"/>
    <w:rsid w:val="00296854"/>
    <w:rsid w:val="002A132E"/>
    <w:rsid w:val="002A19F5"/>
    <w:rsid w:val="002B4922"/>
    <w:rsid w:val="002B69F3"/>
    <w:rsid w:val="002C22C3"/>
    <w:rsid w:val="002C2D19"/>
    <w:rsid w:val="002C468E"/>
    <w:rsid w:val="002D10FA"/>
    <w:rsid w:val="002D2472"/>
    <w:rsid w:val="002D4AAE"/>
    <w:rsid w:val="002D4C55"/>
    <w:rsid w:val="002E6301"/>
    <w:rsid w:val="002E6DED"/>
    <w:rsid w:val="002F5567"/>
    <w:rsid w:val="003002EC"/>
    <w:rsid w:val="00300956"/>
    <w:rsid w:val="00300E2B"/>
    <w:rsid w:val="00301591"/>
    <w:rsid w:val="00312251"/>
    <w:rsid w:val="00317187"/>
    <w:rsid w:val="00321C3D"/>
    <w:rsid w:val="00323A85"/>
    <w:rsid w:val="0032499A"/>
    <w:rsid w:val="00326AB0"/>
    <w:rsid w:val="003333E6"/>
    <w:rsid w:val="00333BC7"/>
    <w:rsid w:val="003341F7"/>
    <w:rsid w:val="00335D49"/>
    <w:rsid w:val="00347E68"/>
    <w:rsid w:val="00347FEC"/>
    <w:rsid w:val="003509DF"/>
    <w:rsid w:val="00355F57"/>
    <w:rsid w:val="00356F45"/>
    <w:rsid w:val="003571ED"/>
    <w:rsid w:val="00366B74"/>
    <w:rsid w:val="003813EE"/>
    <w:rsid w:val="00381F95"/>
    <w:rsid w:val="003939E6"/>
    <w:rsid w:val="003A0B0D"/>
    <w:rsid w:val="003A6EB2"/>
    <w:rsid w:val="003A6FD1"/>
    <w:rsid w:val="003A710A"/>
    <w:rsid w:val="003B0F84"/>
    <w:rsid w:val="003B23D6"/>
    <w:rsid w:val="003B659E"/>
    <w:rsid w:val="003B6C59"/>
    <w:rsid w:val="003C135F"/>
    <w:rsid w:val="003C275E"/>
    <w:rsid w:val="003C4CDE"/>
    <w:rsid w:val="003C4FDE"/>
    <w:rsid w:val="003D44AF"/>
    <w:rsid w:val="003E544C"/>
    <w:rsid w:val="003E58DF"/>
    <w:rsid w:val="003E5A8C"/>
    <w:rsid w:val="003F54F7"/>
    <w:rsid w:val="0040213A"/>
    <w:rsid w:val="00404C4C"/>
    <w:rsid w:val="00412E2E"/>
    <w:rsid w:val="0041423F"/>
    <w:rsid w:val="00414F81"/>
    <w:rsid w:val="00416033"/>
    <w:rsid w:val="00423FDE"/>
    <w:rsid w:val="00434CA7"/>
    <w:rsid w:val="00436A0F"/>
    <w:rsid w:val="00437150"/>
    <w:rsid w:val="0043750A"/>
    <w:rsid w:val="004439ED"/>
    <w:rsid w:val="00447577"/>
    <w:rsid w:val="00455873"/>
    <w:rsid w:val="00457305"/>
    <w:rsid w:val="004606B2"/>
    <w:rsid w:val="00467D34"/>
    <w:rsid w:val="00471778"/>
    <w:rsid w:val="004732E9"/>
    <w:rsid w:val="00476CBE"/>
    <w:rsid w:val="004854BB"/>
    <w:rsid w:val="004939C4"/>
    <w:rsid w:val="00494493"/>
    <w:rsid w:val="00496606"/>
    <w:rsid w:val="004A71D2"/>
    <w:rsid w:val="004B1B4D"/>
    <w:rsid w:val="004B798B"/>
    <w:rsid w:val="004C2F76"/>
    <w:rsid w:val="004D10D6"/>
    <w:rsid w:val="004D5EF2"/>
    <w:rsid w:val="004E1CC5"/>
    <w:rsid w:val="004E5E66"/>
    <w:rsid w:val="004E7ADB"/>
    <w:rsid w:val="004F10F3"/>
    <w:rsid w:val="004F4255"/>
    <w:rsid w:val="004F6D1D"/>
    <w:rsid w:val="004F762D"/>
    <w:rsid w:val="00503B4D"/>
    <w:rsid w:val="00504EE9"/>
    <w:rsid w:val="00514E4F"/>
    <w:rsid w:val="005205D2"/>
    <w:rsid w:val="00521576"/>
    <w:rsid w:val="0052296B"/>
    <w:rsid w:val="005250E6"/>
    <w:rsid w:val="0053213A"/>
    <w:rsid w:val="005321D7"/>
    <w:rsid w:val="00534C59"/>
    <w:rsid w:val="00535011"/>
    <w:rsid w:val="00542D23"/>
    <w:rsid w:val="0054442C"/>
    <w:rsid w:val="00550285"/>
    <w:rsid w:val="00552F11"/>
    <w:rsid w:val="00562492"/>
    <w:rsid w:val="00565DF6"/>
    <w:rsid w:val="005701A9"/>
    <w:rsid w:val="00572A20"/>
    <w:rsid w:val="005836F8"/>
    <w:rsid w:val="005904B7"/>
    <w:rsid w:val="005918FA"/>
    <w:rsid w:val="00592A86"/>
    <w:rsid w:val="00596468"/>
    <w:rsid w:val="0059689C"/>
    <w:rsid w:val="005A3194"/>
    <w:rsid w:val="005B3029"/>
    <w:rsid w:val="005B3FB1"/>
    <w:rsid w:val="005B4801"/>
    <w:rsid w:val="005B5717"/>
    <w:rsid w:val="005B6B5C"/>
    <w:rsid w:val="005B7CED"/>
    <w:rsid w:val="005C23A4"/>
    <w:rsid w:val="005C630F"/>
    <w:rsid w:val="005C68DE"/>
    <w:rsid w:val="005C6A01"/>
    <w:rsid w:val="005D1CDF"/>
    <w:rsid w:val="005D254B"/>
    <w:rsid w:val="005D2BB7"/>
    <w:rsid w:val="005D6FFE"/>
    <w:rsid w:val="005E0B31"/>
    <w:rsid w:val="005E61A8"/>
    <w:rsid w:val="005F0BE5"/>
    <w:rsid w:val="005F16BD"/>
    <w:rsid w:val="005F2D7E"/>
    <w:rsid w:val="005F2E16"/>
    <w:rsid w:val="005F444B"/>
    <w:rsid w:val="005F6419"/>
    <w:rsid w:val="005F6E02"/>
    <w:rsid w:val="006018C0"/>
    <w:rsid w:val="0060301D"/>
    <w:rsid w:val="006033FE"/>
    <w:rsid w:val="0060543D"/>
    <w:rsid w:val="006104DD"/>
    <w:rsid w:val="006130B5"/>
    <w:rsid w:val="00614896"/>
    <w:rsid w:val="00614DD8"/>
    <w:rsid w:val="0061508D"/>
    <w:rsid w:val="00617400"/>
    <w:rsid w:val="00632D29"/>
    <w:rsid w:val="006337C5"/>
    <w:rsid w:val="00642E4D"/>
    <w:rsid w:val="0064743D"/>
    <w:rsid w:val="0065710E"/>
    <w:rsid w:val="00664950"/>
    <w:rsid w:val="00682045"/>
    <w:rsid w:val="00682DC7"/>
    <w:rsid w:val="00683220"/>
    <w:rsid w:val="00687FA0"/>
    <w:rsid w:val="006A3C11"/>
    <w:rsid w:val="006B0C80"/>
    <w:rsid w:val="006B29A0"/>
    <w:rsid w:val="006B7010"/>
    <w:rsid w:val="006C3095"/>
    <w:rsid w:val="006D39A9"/>
    <w:rsid w:val="006E1151"/>
    <w:rsid w:val="006E23CF"/>
    <w:rsid w:val="006E368B"/>
    <w:rsid w:val="006E6311"/>
    <w:rsid w:val="006E68CB"/>
    <w:rsid w:val="007145FF"/>
    <w:rsid w:val="00715B2A"/>
    <w:rsid w:val="00722C07"/>
    <w:rsid w:val="00723B63"/>
    <w:rsid w:val="00733B21"/>
    <w:rsid w:val="0073545A"/>
    <w:rsid w:val="00741D19"/>
    <w:rsid w:val="007429F0"/>
    <w:rsid w:val="00744B22"/>
    <w:rsid w:val="007450F1"/>
    <w:rsid w:val="00751515"/>
    <w:rsid w:val="00755D32"/>
    <w:rsid w:val="00755FD3"/>
    <w:rsid w:val="0075713E"/>
    <w:rsid w:val="00760073"/>
    <w:rsid w:val="007626B7"/>
    <w:rsid w:val="00762710"/>
    <w:rsid w:val="00764E55"/>
    <w:rsid w:val="0078212B"/>
    <w:rsid w:val="00784DF6"/>
    <w:rsid w:val="00785232"/>
    <w:rsid w:val="00794129"/>
    <w:rsid w:val="007A56FE"/>
    <w:rsid w:val="007B186C"/>
    <w:rsid w:val="007B187E"/>
    <w:rsid w:val="007B4056"/>
    <w:rsid w:val="007C1696"/>
    <w:rsid w:val="007C3ED0"/>
    <w:rsid w:val="007C48C4"/>
    <w:rsid w:val="007C5971"/>
    <w:rsid w:val="007D0174"/>
    <w:rsid w:val="007D57BF"/>
    <w:rsid w:val="007E42DC"/>
    <w:rsid w:val="007F54B9"/>
    <w:rsid w:val="0080295B"/>
    <w:rsid w:val="00806A76"/>
    <w:rsid w:val="00807681"/>
    <w:rsid w:val="00811C9D"/>
    <w:rsid w:val="00814C9E"/>
    <w:rsid w:val="00816C80"/>
    <w:rsid w:val="0081797B"/>
    <w:rsid w:val="00827BCA"/>
    <w:rsid w:val="00832A2F"/>
    <w:rsid w:val="00840AD4"/>
    <w:rsid w:val="00841BCD"/>
    <w:rsid w:val="00841E7E"/>
    <w:rsid w:val="008465EC"/>
    <w:rsid w:val="00846760"/>
    <w:rsid w:val="00847264"/>
    <w:rsid w:val="00847D71"/>
    <w:rsid w:val="00851A8E"/>
    <w:rsid w:val="0085365B"/>
    <w:rsid w:val="00863682"/>
    <w:rsid w:val="008710D9"/>
    <w:rsid w:val="00875C0E"/>
    <w:rsid w:val="008809EA"/>
    <w:rsid w:val="00880BA1"/>
    <w:rsid w:val="008811AD"/>
    <w:rsid w:val="008826C1"/>
    <w:rsid w:val="0088362F"/>
    <w:rsid w:val="00883DFD"/>
    <w:rsid w:val="008850F7"/>
    <w:rsid w:val="00890641"/>
    <w:rsid w:val="0089210C"/>
    <w:rsid w:val="00893D2E"/>
    <w:rsid w:val="00896019"/>
    <w:rsid w:val="008A1BF7"/>
    <w:rsid w:val="008A5B0E"/>
    <w:rsid w:val="008B0961"/>
    <w:rsid w:val="008C39F7"/>
    <w:rsid w:val="008C3D79"/>
    <w:rsid w:val="008C6B70"/>
    <w:rsid w:val="008C7BCA"/>
    <w:rsid w:val="0090091A"/>
    <w:rsid w:val="009042BD"/>
    <w:rsid w:val="00904FE4"/>
    <w:rsid w:val="00906406"/>
    <w:rsid w:val="0090668F"/>
    <w:rsid w:val="009068ED"/>
    <w:rsid w:val="00912A37"/>
    <w:rsid w:val="009133F6"/>
    <w:rsid w:val="00914F0B"/>
    <w:rsid w:val="00927740"/>
    <w:rsid w:val="00931197"/>
    <w:rsid w:val="00936159"/>
    <w:rsid w:val="00960CD4"/>
    <w:rsid w:val="00962849"/>
    <w:rsid w:val="00973777"/>
    <w:rsid w:val="009756AA"/>
    <w:rsid w:val="009774B3"/>
    <w:rsid w:val="00977E1D"/>
    <w:rsid w:val="00982A75"/>
    <w:rsid w:val="00985AC2"/>
    <w:rsid w:val="009873BC"/>
    <w:rsid w:val="00990D32"/>
    <w:rsid w:val="00997647"/>
    <w:rsid w:val="00997EF7"/>
    <w:rsid w:val="009A419B"/>
    <w:rsid w:val="009B0573"/>
    <w:rsid w:val="009B4724"/>
    <w:rsid w:val="009B4E19"/>
    <w:rsid w:val="009B5CF8"/>
    <w:rsid w:val="009B5DE1"/>
    <w:rsid w:val="009B7B4B"/>
    <w:rsid w:val="009B7C21"/>
    <w:rsid w:val="009C2CDB"/>
    <w:rsid w:val="009C46D3"/>
    <w:rsid w:val="009C47CB"/>
    <w:rsid w:val="009E3953"/>
    <w:rsid w:val="009E3E83"/>
    <w:rsid w:val="009E4E6E"/>
    <w:rsid w:val="009E7FA8"/>
    <w:rsid w:val="009F52D4"/>
    <w:rsid w:val="00A04992"/>
    <w:rsid w:val="00A04A4A"/>
    <w:rsid w:val="00A147AA"/>
    <w:rsid w:val="00A157B1"/>
    <w:rsid w:val="00A21D71"/>
    <w:rsid w:val="00A22B78"/>
    <w:rsid w:val="00A246F7"/>
    <w:rsid w:val="00A24AFE"/>
    <w:rsid w:val="00A25AE5"/>
    <w:rsid w:val="00A26442"/>
    <w:rsid w:val="00A37002"/>
    <w:rsid w:val="00A4355E"/>
    <w:rsid w:val="00A520D9"/>
    <w:rsid w:val="00A56CC6"/>
    <w:rsid w:val="00A60355"/>
    <w:rsid w:val="00A64DA0"/>
    <w:rsid w:val="00A73B72"/>
    <w:rsid w:val="00A84BD1"/>
    <w:rsid w:val="00A858F3"/>
    <w:rsid w:val="00A87DD7"/>
    <w:rsid w:val="00A92648"/>
    <w:rsid w:val="00A92661"/>
    <w:rsid w:val="00A92BCD"/>
    <w:rsid w:val="00A9668F"/>
    <w:rsid w:val="00A97587"/>
    <w:rsid w:val="00AA1AD5"/>
    <w:rsid w:val="00AA1B0E"/>
    <w:rsid w:val="00AA3DBA"/>
    <w:rsid w:val="00AA47B6"/>
    <w:rsid w:val="00AA6F0F"/>
    <w:rsid w:val="00AC0DC5"/>
    <w:rsid w:val="00AC163B"/>
    <w:rsid w:val="00AC5CA7"/>
    <w:rsid w:val="00AC5F27"/>
    <w:rsid w:val="00AC6058"/>
    <w:rsid w:val="00AD1366"/>
    <w:rsid w:val="00AD22D3"/>
    <w:rsid w:val="00AD59B4"/>
    <w:rsid w:val="00AE17BE"/>
    <w:rsid w:val="00AE2219"/>
    <w:rsid w:val="00AE2BA5"/>
    <w:rsid w:val="00AE56B1"/>
    <w:rsid w:val="00AE6D09"/>
    <w:rsid w:val="00AF4D46"/>
    <w:rsid w:val="00AF7A7C"/>
    <w:rsid w:val="00B01AD5"/>
    <w:rsid w:val="00B02070"/>
    <w:rsid w:val="00B04F76"/>
    <w:rsid w:val="00B1217E"/>
    <w:rsid w:val="00B408B6"/>
    <w:rsid w:val="00B513DE"/>
    <w:rsid w:val="00B51C35"/>
    <w:rsid w:val="00B51DBA"/>
    <w:rsid w:val="00B542DA"/>
    <w:rsid w:val="00B5447E"/>
    <w:rsid w:val="00B54AEC"/>
    <w:rsid w:val="00B60685"/>
    <w:rsid w:val="00B65DA5"/>
    <w:rsid w:val="00B72A0C"/>
    <w:rsid w:val="00B72FDE"/>
    <w:rsid w:val="00B73862"/>
    <w:rsid w:val="00B73F43"/>
    <w:rsid w:val="00B75BBF"/>
    <w:rsid w:val="00B77399"/>
    <w:rsid w:val="00B8117A"/>
    <w:rsid w:val="00B81CDC"/>
    <w:rsid w:val="00B94161"/>
    <w:rsid w:val="00B97E11"/>
    <w:rsid w:val="00BA1E12"/>
    <w:rsid w:val="00BA285E"/>
    <w:rsid w:val="00BA308C"/>
    <w:rsid w:val="00BA6B66"/>
    <w:rsid w:val="00BA6E48"/>
    <w:rsid w:val="00BB154A"/>
    <w:rsid w:val="00BB3872"/>
    <w:rsid w:val="00BB4EC9"/>
    <w:rsid w:val="00BC255F"/>
    <w:rsid w:val="00BD3615"/>
    <w:rsid w:val="00BD6D59"/>
    <w:rsid w:val="00BE0AF6"/>
    <w:rsid w:val="00BE1F03"/>
    <w:rsid w:val="00BE54A6"/>
    <w:rsid w:val="00BE58A7"/>
    <w:rsid w:val="00BE7AF2"/>
    <w:rsid w:val="00BF06EA"/>
    <w:rsid w:val="00BF1897"/>
    <w:rsid w:val="00BF2218"/>
    <w:rsid w:val="00C01BB0"/>
    <w:rsid w:val="00C03B03"/>
    <w:rsid w:val="00C0426B"/>
    <w:rsid w:val="00C045DF"/>
    <w:rsid w:val="00C11134"/>
    <w:rsid w:val="00C17787"/>
    <w:rsid w:val="00C203FD"/>
    <w:rsid w:val="00C26C76"/>
    <w:rsid w:val="00C26D43"/>
    <w:rsid w:val="00C35173"/>
    <w:rsid w:val="00C36DC4"/>
    <w:rsid w:val="00C4236E"/>
    <w:rsid w:val="00C43803"/>
    <w:rsid w:val="00C46548"/>
    <w:rsid w:val="00C521A5"/>
    <w:rsid w:val="00C521FA"/>
    <w:rsid w:val="00C53263"/>
    <w:rsid w:val="00C574D5"/>
    <w:rsid w:val="00C7395F"/>
    <w:rsid w:val="00C73F32"/>
    <w:rsid w:val="00C87462"/>
    <w:rsid w:val="00C9067F"/>
    <w:rsid w:val="00C90FAB"/>
    <w:rsid w:val="00C92C26"/>
    <w:rsid w:val="00C96593"/>
    <w:rsid w:val="00CA180C"/>
    <w:rsid w:val="00CA3C58"/>
    <w:rsid w:val="00CA6F96"/>
    <w:rsid w:val="00CB22B2"/>
    <w:rsid w:val="00CB3AFC"/>
    <w:rsid w:val="00CB4E02"/>
    <w:rsid w:val="00CC01CB"/>
    <w:rsid w:val="00CC1C50"/>
    <w:rsid w:val="00CC3EE2"/>
    <w:rsid w:val="00CC5CE4"/>
    <w:rsid w:val="00CD5084"/>
    <w:rsid w:val="00CD7492"/>
    <w:rsid w:val="00CE17BE"/>
    <w:rsid w:val="00CE30CB"/>
    <w:rsid w:val="00CE3A6B"/>
    <w:rsid w:val="00CF3DD4"/>
    <w:rsid w:val="00D00211"/>
    <w:rsid w:val="00D006D1"/>
    <w:rsid w:val="00D025AE"/>
    <w:rsid w:val="00D06309"/>
    <w:rsid w:val="00D14C32"/>
    <w:rsid w:val="00D150FC"/>
    <w:rsid w:val="00D15F00"/>
    <w:rsid w:val="00D3239E"/>
    <w:rsid w:val="00D33DC3"/>
    <w:rsid w:val="00D351EA"/>
    <w:rsid w:val="00D40288"/>
    <w:rsid w:val="00D41D77"/>
    <w:rsid w:val="00D426D9"/>
    <w:rsid w:val="00D43403"/>
    <w:rsid w:val="00D50A6B"/>
    <w:rsid w:val="00D5270B"/>
    <w:rsid w:val="00D62E71"/>
    <w:rsid w:val="00D6430D"/>
    <w:rsid w:val="00D66188"/>
    <w:rsid w:val="00D70B30"/>
    <w:rsid w:val="00D711E3"/>
    <w:rsid w:val="00D7230D"/>
    <w:rsid w:val="00D724F1"/>
    <w:rsid w:val="00D731F6"/>
    <w:rsid w:val="00D740CA"/>
    <w:rsid w:val="00D84A56"/>
    <w:rsid w:val="00D85728"/>
    <w:rsid w:val="00D9052A"/>
    <w:rsid w:val="00D9067B"/>
    <w:rsid w:val="00D91B69"/>
    <w:rsid w:val="00D95481"/>
    <w:rsid w:val="00D95F33"/>
    <w:rsid w:val="00D96083"/>
    <w:rsid w:val="00D97895"/>
    <w:rsid w:val="00DA655B"/>
    <w:rsid w:val="00DA6FDB"/>
    <w:rsid w:val="00DC7A13"/>
    <w:rsid w:val="00DE7064"/>
    <w:rsid w:val="00DF2997"/>
    <w:rsid w:val="00DF76C5"/>
    <w:rsid w:val="00E07944"/>
    <w:rsid w:val="00E10BC4"/>
    <w:rsid w:val="00E1415D"/>
    <w:rsid w:val="00E213BD"/>
    <w:rsid w:val="00E26394"/>
    <w:rsid w:val="00E323E9"/>
    <w:rsid w:val="00E32FB6"/>
    <w:rsid w:val="00E34018"/>
    <w:rsid w:val="00E36594"/>
    <w:rsid w:val="00E40691"/>
    <w:rsid w:val="00E42AE1"/>
    <w:rsid w:val="00E437D2"/>
    <w:rsid w:val="00E43BF9"/>
    <w:rsid w:val="00E449D7"/>
    <w:rsid w:val="00E47BC6"/>
    <w:rsid w:val="00E51930"/>
    <w:rsid w:val="00E546F4"/>
    <w:rsid w:val="00E55751"/>
    <w:rsid w:val="00E62948"/>
    <w:rsid w:val="00E70F21"/>
    <w:rsid w:val="00E7398E"/>
    <w:rsid w:val="00E755D4"/>
    <w:rsid w:val="00E80BB0"/>
    <w:rsid w:val="00E82B94"/>
    <w:rsid w:val="00E93D47"/>
    <w:rsid w:val="00EA2311"/>
    <w:rsid w:val="00EA6133"/>
    <w:rsid w:val="00EA77F9"/>
    <w:rsid w:val="00EB2606"/>
    <w:rsid w:val="00EC7A8A"/>
    <w:rsid w:val="00EC7BC3"/>
    <w:rsid w:val="00ED073B"/>
    <w:rsid w:val="00ED7600"/>
    <w:rsid w:val="00EE09A4"/>
    <w:rsid w:val="00EE538B"/>
    <w:rsid w:val="00EF279C"/>
    <w:rsid w:val="00EF6073"/>
    <w:rsid w:val="00EF698B"/>
    <w:rsid w:val="00F1362C"/>
    <w:rsid w:val="00F13F26"/>
    <w:rsid w:val="00F175FC"/>
    <w:rsid w:val="00F17897"/>
    <w:rsid w:val="00F20454"/>
    <w:rsid w:val="00F26EB6"/>
    <w:rsid w:val="00F305B3"/>
    <w:rsid w:val="00F414F1"/>
    <w:rsid w:val="00F425EA"/>
    <w:rsid w:val="00F4446E"/>
    <w:rsid w:val="00F47EC0"/>
    <w:rsid w:val="00F508B8"/>
    <w:rsid w:val="00F61A16"/>
    <w:rsid w:val="00F63553"/>
    <w:rsid w:val="00F71FE1"/>
    <w:rsid w:val="00F72CB1"/>
    <w:rsid w:val="00F74A4B"/>
    <w:rsid w:val="00F8215E"/>
    <w:rsid w:val="00F824F5"/>
    <w:rsid w:val="00F841C4"/>
    <w:rsid w:val="00F90FAB"/>
    <w:rsid w:val="00F915A1"/>
    <w:rsid w:val="00F9374D"/>
    <w:rsid w:val="00FA3179"/>
    <w:rsid w:val="00FA349A"/>
    <w:rsid w:val="00FB49E3"/>
    <w:rsid w:val="00FB4EE7"/>
    <w:rsid w:val="00FC29B9"/>
    <w:rsid w:val="00FC2C08"/>
    <w:rsid w:val="00FC49BB"/>
    <w:rsid w:val="00FC6FD3"/>
    <w:rsid w:val="00FD7447"/>
    <w:rsid w:val="00FE2F9F"/>
    <w:rsid w:val="00FE305C"/>
    <w:rsid w:val="00FE4943"/>
    <w:rsid w:val="00FE5597"/>
    <w:rsid w:val="00FE744E"/>
    <w:rsid w:val="00FF0301"/>
    <w:rsid w:val="00FF2883"/>
    <w:rsid w:val="00FF608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styleId="Revision">
    <w:name w:val="Revision"/>
    <w:hidden/>
    <w:uiPriority w:val="99"/>
    <w:semiHidden/>
    <w:rsid w:val="00BA285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569921216">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50393193">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1183016382">
      <w:bodyDiv w:val="1"/>
      <w:marLeft w:val="0"/>
      <w:marRight w:val="0"/>
      <w:marTop w:val="0"/>
      <w:marBottom w:val="0"/>
      <w:divBdr>
        <w:top w:val="none" w:sz="0" w:space="0" w:color="auto"/>
        <w:left w:val="none" w:sz="0" w:space="0" w:color="auto"/>
        <w:bottom w:val="none" w:sz="0" w:space="0" w:color="auto"/>
        <w:right w:val="none" w:sz="0" w:space="0" w:color="auto"/>
      </w:divBdr>
    </w:div>
    <w:div w:id="1677803496">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RBI5PAMIO524-1616901215-33898</_dlc_DocId>
    <HideFromDelve xmlns="71c5aaf6-e6ce-465b-b873-5148d2a4c105">false</HideFromDelve>
    <_dlc_DocIdUrl xmlns="71c5aaf6-e6ce-465b-b873-5148d2a4c105">
      <Url>https://nokia.sharepoint.com/sites/gxp/_layouts/15/DocIdRedir.aspx?ID=RBI5PAMIO524-1616901215-33898</Url>
      <Description>RBI5PAMIO524-1616901215-33898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TotalTime>
  <Pages>6</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16663</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Hisashi Onozawa (Nokia)</cp:lastModifiedBy>
  <cp:revision>4</cp:revision>
  <dcterms:created xsi:type="dcterms:W3CDTF">2024-11-08T13:25:00Z</dcterms:created>
  <dcterms:modified xsi:type="dcterms:W3CDTF">2024-11-08T13:29:00Z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37828481-7cb9-4e3a-8a40-f37604315ac9</vt:lpwstr>
  </property>
</Properties>
</file>